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8B" w:rsidRDefault="001D3B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908050</wp:posOffset>
            </wp:positionH>
            <wp:positionV relativeFrom="page">
              <wp:posOffset>1289685</wp:posOffset>
            </wp:positionV>
            <wp:extent cx="1012825" cy="678180"/>
            <wp:effectExtent l="0" t="0" r="0" b="7620"/>
            <wp:wrapNone/>
            <wp:docPr id="19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38B" w:rsidRDefault="0007038B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EUROPSKA KOMISIJA</w:t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OPĆA UPRAVA ZA KLIMATSKU POLITIKU </w:t>
      </w:r>
    </w:p>
    <w:p w:rsidR="000611E2" w:rsidRDefault="000611E2" w:rsidP="000611E2">
      <w:pPr>
        <w:widowControl w:val="0"/>
        <w:tabs>
          <w:tab w:val="left" w:pos="3757"/>
        </w:tabs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I AKTIVNOSTI  </w:t>
      </w:r>
      <w:r>
        <w:rPr>
          <w:rFonts w:ascii="Arial" w:hAnsi="Arial" w:cs="Arial"/>
          <w:sz w:val="16"/>
          <w:szCs w:val="16"/>
        </w:rPr>
        <w:tab/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Uprava A – Međunarodna i klimatska strategija   </w:t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KLIMA.A.3 – Praćenje, izvješćivanje i verifikacija 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40"/>
          <w:szCs w:val="40"/>
        </w:rPr>
        <w:t xml:space="preserve">Uputa </w:t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bookmarkStart w:id="1" w:name="_GoBack"/>
      <w:r>
        <w:rPr>
          <w:rFonts w:cs="Calibri"/>
          <w:sz w:val="36"/>
          <w:szCs w:val="36"/>
        </w:rPr>
        <w:t>Uredba o akreditaciji i verifikaciji -</w:t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07038B" w:rsidRDefault="000611E2">
      <w:pPr>
        <w:widowControl w:val="0"/>
        <w:overflowPunct w:val="0"/>
        <w:autoSpaceDE w:val="0"/>
        <w:autoSpaceDN w:val="0"/>
        <w:adjustRightInd w:val="0"/>
        <w:spacing w:after="0" w:line="218" w:lineRule="auto"/>
        <w:ind w:right="2220"/>
        <w:rPr>
          <w:rFonts w:ascii="Times New Roman" w:hAnsi="Times New Roman" w:cs="Times New Roman"/>
          <w:sz w:val="24"/>
          <w:szCs w:val="24"/>
        </w:rPr>
      </w:pPr>
      <w:r>
        <w:rPr>
          <w:rFonts w:cs="Calibri"/>
          <w:sz w:val="36"/>
          <w:szCs w:val="36"/>
        </w:rPr>
        <w:t>Terenski obilasci postrojenja</w:t>
      </w:r>
      <w:bookmarkEnd w:id="1"/>
      <w:r>
        <w:rPr>
          <w:rFonts w:cs="Calibri"/>
          <w:sz w:val="36"/>
          <w:szCs w:val="36"/>
        </w:rPr>
        <w:t xml:space="preserve"> </w:t>
      </w:r>
      <w:r w:rsidR="001D3BFC">
        <w:rPr>
          <w:rFonts w:ascii="Calibri" w:hAnsi="Calibri" w:cs="Calibri"/>
          <w:sz w:val="36"/>
          <w:szCs w:val="36"/>
        </w:rPr>
        <w:t xml:space="preserve"> </w:t>
      </w:r>
      <w:r w:rsidR="00AD2791">
        <w:rPr>
          <w:rFonts w:ascii="Calibri" w:hAnsi="Calibri" w:cs="Calibri"/>
          <w:sz w:val="36"/>
          <w:szCs w:val="36"/>
        </w:rPr>
        <w:t xml:space="preserve"> </w:t>
      </w:r>
      <w:r w:rsidR="001D3BFC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3771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UAV ključna uputa br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. II.5, </w:t>
      </w:r>
      <w:r>
        <w:rPr>
          <w:rFonts w:ascii="Calibri" w:hAnsi="Calibri" w:cs="Calibri"/>
          <w:b/>
          <w:bCs/>
          <w:sz w:val="24"/>
          <w:szCs w:val="24"/>
        </w:rPr>
        <w:t>verzija od 17. listopada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 2012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0611E2" w:rsidRDefault="000611E2" w:rsidP="000611E2">
      <w:pPr>
        <w:spacing w:line="230" w:lineRule="auto"/>
        <w:ind w:right="2040"/>
        <w:jc w:val="both"/>
        <w:rPr>
          <w:rFonts w:cs="Calibri"/>
        </w:rPr>
      </w:pPr>
      <w:r>
        <w:rPr>
          <w:rFonts w:cs="Calibri"/>
        </w:rPr>
        <w:t xml:space="preserve">Ovaj je dokument dio niza dokumenata i obrazaca koje sastavljaju službe Europske komisije kao potporu provedbi Uredbe Komisije (EU) br. 600/2012 od 21. lipnja 2012. </w:t>
      </w:r>
      <w:r>
        <w:rPr>
          <w:rFonts w:cs="Calibri"/>
          <w:bCs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</w:rPr>
        <w:t>.</w:t>
      </w:r>
    </w:p>
    <w:p w:rsidR="000611E2" w:rsidRPr="000611E2" w:rsidRDefault="000611E2" w:rsidP="000611E2">
      <w:pPr>
        <w:widowControl w:val="0"/>
        <w:overflowPunct w:val="0"/>
        <w:autoSpaceDE w:val="0"/>
        <w:autoSpaceDN w:val="0"/>
        <w:adjustRightInd w:val="0"/>
        <w:spacing w:after="0" w:line="217" w:lineRule="auto"/>
        <w:ind w:right="2040"/>
        <w:jc w:val="both"/>
        <w:rPr>
          <w:rFonts w:ascii="Calibri" w:hAnsi="Calibri" w:cs="Calibri"/>
        </w:rPr>
      </w:pPr>
      <w:r w:rsidRPr="000611E2">
        <w:rPr>
          <w:rFonts w:ascii="Calibri" w:hAnsi="Calibri" w:cs="Calibri"/>
        </w:rPr>
        <w:t>Ova uputa predstavlja stajalište služba Komisije u trenutku objave. Uputa nije pravno obvezujuća.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11E2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0611E2">
        <w:rPr>
          <w:rFonts w:ascii="Calibri" w:hAnsi="Calibri" w:cs="Calibri"/>
        </w:rPr>
        <w:t>Ova uputa uzima u obzir rasprave sa sastanaka neformalne Tehničke radne skupine za Uredbu o praćenju i izvješćivanju u okviru Radne skupine III (WGIII) Odbora za klimatske promjene (</w:t>
      </w:r>
      <w:proofErr w:type="spellStart"/>
      <w:r w:rsidRPr="000611E2">
        <w:rPr>
          <w:rFonts w:ascii="Calibri" w:hAnsi="Calibri" w:cs="Calibri"/>
        </w:rPr>
        <w:t>Climate</w:t>
      </w:r>
      <w:proofErr w:type="spellEnd"/>
      <w:r w:rsidRPr="000611E2">
        <w:rPr>
          <w:rFonts w:ascii="Calibri" w:hAnsi="Calibri" w:cs="Calibri"/>
        </w:rPr>
        <w:t xml:space="preserve"> </w:t>
      </w:r>
      <w:proofErr w:type="spellStart"/>
      <w:r w:rsidRPr="000611E2">
        <w:rPr>
          <w:rFonts w:ascii="Calibri" w:hAnsi="Calibri" w:cs="Calibri"/>
        </w:rPr>
        <w:t>Change</w:t>
      </w:r>
      <w:proofErr w:type="spellEnd"/>
      <w:r w:rsidRPr="000611E2">
        <w:rPr>
          <w:rFonts w:ascii="Calibri" w:hAnsi="Calibri" w:cs="Calibri"/>
        </w:rPr>
        <w:t xml:space="preserve"> </w:t>
      </w:r>
      <w:proofErr w:type="spellStart"/>
      <w:r w:rsidRPr="000611E2">
        <w:rPr>
          <w:rFonts w:ascii="Calibri" w:hAnsi="Calibri" w:cs="Calibri"/>
        </w:rPr>
        <w:t>Committee</w:t>
      </w:r>
      <w:proofErr w:type="spellEnd"/>
      <w:r w:rsidRPr="000611E2">
        <w:rPr>
          <w:rFonts w:ascii="Calibri" w:hAnsi="Calibri" w:cs="Calibri"/>
        </w:rPr>
        <w:t xml:space="preserve"> – CCC), kao i pisane primjedbe zaprimljene od dionika i stručnjaka iz država članica</w:t>
      </w:r>
      <w:r w:rsidR="001D3BFC">
        <w:rPr>
          <w:rFonts w:ascii="Calibri" w:hAnsi="Calibri" w:cs="Calibri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11E2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0611E2">
        <w:rPr>
          <w:rFonts w:ascii="Calibri" w:hAnsi="Calibri" w:cs="Calibri"/>
          <w:i/>
          <w:iCs/>
        </w:rPr>
        <w:t xml:space="preserve">Ovu uputu jednoglasno su potvrdili predstavnici država članica na sastanku Odbora za klimatske promjene održanom  </w:t>
      </w:r>
      <w:r>
        <w:rPr>
          <w:rFonts w:ascii="Calibri" w:hAnsi="Calibri" w:cs="Calibri"/>
          <w:i/>
          <w:iCs/>
        </w:rPr>
        <w:t>17</w:t>
      </w:r>
      <w:r w:rsidRPr="000611E2">
        <w:rPr>
          <w:rFonts w:ascii="Calibri" w:hAnsi="Calibri" w:cs="Calibri"/>
          <w:i/>
          <w:iCs/>
        </w:rPr>
        <w:t xml:space="preserve">. </w:t>
      </w:r>
      <w:r>
        <w:rPr>
          <w:rFonts w:ascii="Calibri" w:hAnsi="Calibri" w:cs="Calibri"/>
          <w:i/>
          <w:iCs/>
        </w:rPr>
        <w:t xml:space="preserve">listopada </w:t>
      </w:r>
      <w:r w:rsidRPr="000611E2">
        <w:rPr>
          <w:rFonts w:ascii="Calibri" w:hAnsi="Calibri" w:cs="Calibri"/>
          <w:i/>
          <w:iCs/>
        </w:rPr>
        <w:t>2012</w:t>
      </w:r>
      <w:r w:rsidR="001D3BFC">
        <w:rPr>
          <w:rFonts w:ascii="Calibri" w:hAnsi="Calibri" w:cs="Calibri"/>
          <w:i/>
          <w:iCs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11E2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040"/>
        <w:jc w:val="both"/>
        <w:rPr>
          <w:rFonts w:ascii="Times New Roman" w:hAnsi="Times New Roman" w:cs="Times New Roman"/>
          <w:sz w:val="24"/>
          <w:szCs w:val="24"/>
        </w:rPr>
      </w:pPr>
      <w:r w:rsidRPr="000611E2">
        <w:rPr>
          <w:rFonts w:ascii="Calibri" w:hAnsi="Calibri" w:cs="Calibri"/>
        </w:rPr>
        <w:t>Sve upute i obrasci mogu se preuzeti iz odjeljka s dokumentacijom s mrežne stranice Komisije  na sljedećoj adresi</w:t>
      </w:r>
      <w:r w:rsidR="001D3BFC">
        <w:rPr>
          <w:rFonts w:ascii="Calibri" w:hAnsi="Calibri" w:cs="Calibri"/>
        </w:rPr>
        <w:t xml:space="preserve">: </w:t>
      </w:r>
      <w:hyperlink r:id="rId10" w:history="1">
        <w:r w:rsidR="001D3BFC">
          <w:rPr>
            <w:rFonts w:ascii="Calibri" w:hAnsi="Calibri" w:cs="Calibri"/>
            <w:b/>
            <w:bCs/>
            <w:color w:val="0000FF"/>
          </w:rPr>
          <w:t xml:space="preserve"> </w:t>
        </w:r>
        <w:r w:rsidR="001D3BFC">
          <w:rPr>
            <w:rFonts w:ascii="Calibri" w:hAnsi="Calibri" w:cs="Calibri"/>
            <w:b/>
            <w:bCs/>
            <w:color w:val="0000FF"/>
            <w:u w:val="single"/>
          </w:rPr>
          <w:t>http://ec.europa.eu/clima/policies/ets/monitoring/index_en.htm</w:t>
        </w:r>
      </w:hyperlink>
      <w:r w:rsidR="001D3BFC">
        <w:rPr>
          <w:rFonts w:ascii="Calibri" w:hAnsi="Calibri" w:cs="Calibri"/>
          <w:b/>
          <w:bCs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38B">
          <w:pgSz w:w="11900" w:h="16840"/>
          <w:pgMar w:top="1440" w:right="1420" w:bottom="715" w:left="1420" w:header="720" w:footer="720" w:gutter="0"/>
          <w:cols w:space="720" w:equalWidth="0">
            <w:col w:w="9060"/>
          </w:cols>
          <w:noEndnote/>
        </w:sectPr>
      </w:pPr>
    </w:p>
    <w:p w:rsidR="0007038B" w:rsidRDefault="000611E2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bookmarkStart w:id="2" w:name="page2"/>
      <w:bookmarkEnd w:id="2"/>
      <w:r>
        <w:rPr>
          <w:rFonts w:ascii="Calibri" w:hAnsi="Calibri" w:cs="Calibri"/>
          <w:b/>
          <w:bCs/>
          <w:sz w:val="24"/>
          <w:szCs w:val="24"/>
        </w:rPr>
        <w:lastRenderedPageBreak/>
        <w:t xml:space="preserve">Podloga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0611E2" w:rsidRDefault="000611E2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Ovaj dokument dio je niza uputa koje su sastavile službe Europske komisije u svrhu pojašnjenja zahtjeva EU ETS Uredbe o akreditaciji i verifikaciji (UAV)</w:t>
      </w:r>
      <w:r>
        <w:rPr>
          <w:rFonts w:cs="Calibri"/>
          <w:sz w:val="24"/>
          <w:szCs w:val="24"/>
          <w:vertAlign w:val="superscript"/>
        </w:rPr>
        <w:footnoteReference w:id="1"/>
      </w:r>
      <w:r>
        <w:rPr>
          <w:rFonts w:cs="Calibri"/>
          <w:sz w:val="24"/>
          <w:szCs w:val="24"/>
        </w:rPr>
        <w:t>. Predmetni niz uputa sastoji se od: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 xml:space="preserve">upute s objašnjenjima o člancima UAV-a (UPO I), uključujući korisnički priručnik koji daje pregled uputa i njihov međuodnos s mjerodavnim zakonodavstvom; 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 xml:space="preserve">ključne upute (KUP II) o specifičnim pitanjima verifikacije i akreditacije; 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 xml:space="preserve">posebne upute (UP III) o verifikaciji izvješća operatera zrakoplova; 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 xml:space="preserve">obrazaca za verifikacijsko izvješće i razmjenu informacija; 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 xml:space="preserve">primjera koji uključuju popunjene obrasce, kontrolne liste ili specifične primjere u uputi s objašnjenjem ili ključnim uputama; </w:t>
      </w:r>
    </w:p>
    <w:p w:rsidR="000611E2" w:rsidRDefault="000611E2" w:rsidP="000611E2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PMingLiU" w:eastAsia="PMingLiU" w:hAnsi="Times New Roman" w:cs="PMingLiU"/>
          <w:sz w:val="24"/>
          <w:szCs w:val="24"/>
        </w:rPr>
      </w:pPr>
      <w:r>
        <w:rPr>
          <w:rFonts w:cs="Calibri"/>
          <w:sz w:val="24"/>
          <w:szCs w:val="24"/>
        </w:rPr>
        <w:t xml:space="preserve">često postavljenih pitanja. </w:t>
      </w:r>
    </w:p>
    <w:p w:rsidR="000611E2" w:rsidRDefault="000611E2" w:rsidP="000611E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7038B" w:rsidRDefault="000611E2" w:rsidP="000611E2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cs="Calibri"/>
          <w:sz w:val="24"/>
          <w:szCs w:val="24"/>
        </w:rPr>
        <w:t>Ova ključna uputa (KUP II.3) objašnjava potrebne aktivnosti koje verifikator mora provesti tijekom analize procesa. Ova Uputa predstavlja stajališta služba Komisije u trenutku objave. Nije pravno obvezujuća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611E2" w:rsidRDefault="000611E2" w:rsidP="000611E2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7673"/>
        <w:gridCol w:w="1366"/>
      </w:tblGrid>
      <w:tr w:rsidR="000611E2" w:rsidTr="000611E2">
        <w:tc>
          <w:tcPr>
            <w:tcW w:w="7763" w:type="dxa"/>
          </w:tcPr>
          <w:p w:rsidR="000611E2" w:rsidRDefault="000611E2" w:rsidP="000611E2">
            <w:pPr>
              <w:widowControl w:val="0"/>
              <w:tabs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24" w:lineRule="auto"/>
              <w:ind w:left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Ova ključna uputa obuhvaća zahtjeve i uvjete za terenske obilaske koji se odnose isključivo na postrojenja; uputa za terenske obilaske u EU ETS sustavu zrakoplovstva navedena je u zasebnoj EU ETS uputi za verifikaciju u zrakoplovstvu (UP III).</w:t>
            </w:r>
          </w:p>
          <w:p w:rsidR="000611E2" w:rsidRDefault="000611E2" w:rsidP="000611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11E2" w:rsidRDefault="000611E2" w:rsidP="000611E2">
            <w:pPr>
              <w:rPr>
                <w:rFonts w:ascii="Times New Roman" w:hAnsi="Times New Roman"/>
                <w:sz w:val="24"/>
                <w:szCs w:val="24"/>
              </w:rPr>
            </w:pPr>
            <w:r w:rsidRPr="001900F1">
              <w:rPr>
                <w:rFonts w:ascii="Calibri" w:hAnsi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85344DC" wp14:editId="2D8594BF">
                  <wp:extent cx="730573" cy="636104"/>
                  <wp:effectExtent l="0" t="0" r="0" b="0"/>
                  <wp:docPr id="20" name="Slika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76" cy="64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11E2" w:rsidRPr="000611E2" w:rsidRDefault="000611E2" w:rsidP="00061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038B" w:rsidRDefault="001D3BFC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1. </w:t>
      </w:r>
      <w:r w:rsidR="000611E2">
        <w:rPr>
          <w:rFonts w:ascii="Calibri" w:hAnsi="Calibri" w:cs="Calibri"/>
          <w:b/>
          <w:bCs/>
          <w:sz w:val="24"/>
          <w:szCs w:val="24"/>
        </w:rPr>
        <w:t>Što je terenski obilazak</w:t>
      </w:r>
      <w:r>
        <w:rPr>
          <w:rFonts w:ascii="Calibri" w:hAnsi="Calibri" w:cs="Calibri"/>
          <w:b/>
          <w:bCs/>
          <w:sz w:val="24"/>
          <w:szCs w:val="24"/>
        </w:rPr>
        <w:t>?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7038B" w:rsidRPr="000611E2" w:rsidRDefault="000611E2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 w:rsidRPr="000611E2">
        <w:rPr>
          <w:rFonts w:ascii="Calibri" w:hAnsi="Calibri" w:cs="Calibri"/>
          <w:sz w:val="24"/>
          <w:szCs w:val="24"/>
        </w:rPr>
        <w:t xml:space="preserve">Verifikator mora provesti terenki obilazak jednom ili više puta tijekom postupka verifikacije </w:t>
      </w:r>
      <w:r w:rsidR="006D2D40">
        <w:rPr>
          <w:rFonts w:ascii="Calibri" w:hAnsi="Calibri" w:cs="Calibri"/>
          <w:sz w:val="24"/>
          <w:szCs w:val="24"/>
        </w:rPr>
        <w:t>u odgovarajućem vremenu</w:t>
      </w:r>
      <w:r w:rsidRPr="000611E2">
        <w:rPr>
          <w:rFonts w:ascii="Calibri" w:hAnsi="Calibri" w:cs="Calibri"/>
          <w:sz w:val="24"/>
          <w:szCs w:val="24"/>
        </w:rPr>
        <w:t>. Svrha terenskog obilaska je prikupljanje dovoljn</w:t>
      </w:r>
      <w:r w:rsidR="006D2D40">
        <w:rPr>
          <w:rFonts w:ascii="Calibri" w:hAnsi="Calibri" w:cs="Calibri"/>
          <w:sz w:val="24"/>
          <w:szCs w:val="24"/>
        </w:rPr>
        <w:t>o</w:t>
      </w:r>
      <w:r w:rsidRPr="000611E2">
        <w:rPr>
          <w:rFonts w:ascii="Calibri" w:hAnsi="Calibri" w:cs="Calibri"/>
          <w:sz w:val="24"/>
          <w:szCs w:val="24"/>
        </w:rPr>
        <w:t xml:space="preserve"> dokaza da s razumnim </w:t>
      </w:r>
      <w:r w:rsidR="00BB756C">
        <w:rPr>
          <w:rFonts w:ascii="Calibri" w:hAnsi="Calibri" w:cs="Calibri"/>
          <w:sz w:val="24"/>
          <w:szCs w:val="24"/>
        </w:rPr>
        <w:t>jamstvom</w:t>
      </w:r>
      <w:r w:rsidRPr="000611E2">
        <w:rPr>
          <w:rFonts w:ascii="Calibri" w:hAnsi="Calibri" w:cs="Calibri"/>
          <w:sz w:val="24"/>
          <w:szCs w:val="24"/>
        </w:rPr>
        <w:t xml:space="preserve"> može zaključiti da izvješće o emisijama operatera ne sadrži značajne netočnosti</w:t>
      </w:r>
      <w:r w:rsidR="001D3BFC" w:rsidRPr="000611E2">
        <w:rPr>
          <w:rFonts w:ascii="Calibri" w:hAnsi="Calibri" w:cs="Calibri"/>
          <w:sz w:val="24"/>
          <w:szCs w:val="24"/>
        </w:rPr>
        <w:t xml:space="preserve">. </w:t>
      </w:r>
      <w:r w:rsidRPr="000611E2">
        <w:rPr>
          <w:rFonts w:ascii="Calibri" w:hAnsi="Calibri" w:cs="Calibri"/>
          <w:sz w:val="24"/>
          <w:szCs w:val="24"/>
        </w:rPr>
        <w:t>Aktivnosti tijekom terenskog obilaska uključuju</w:t>
      </w:r>
      <w:r w:rsidR="001D3BFC" w:rsidRPr="000611E2">
        <w:rPr>
          <w:rFonts w:ascii="Calibri" w:hAnsi="Calibri" w:cs="Calibri"/>
          <w:sz w:val="24"/>
          <w:szCs w:val="24"/>
        </w:rPr>
        <w:t>:</w:t>
      </w:r>
    </w:p>
    <w:p w:rsidR="0007038B" w:rsidRPr="000611E2" w:rsidRDefault="0007038B" w:rsidP="0006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0611E2" w:rsidRDefault="000611E2" w:rsidP="000611E2">
      <w:pPr>
        <w:widowControl w:val="0"/>
        <w:numPr>
          <w:ilvl w:val="0"/>
          <w:numId w:val="2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right="20" w:hanging="283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0611E2">
        <w:rPr>
          <w:rFonts w:ascii="Calibri" w:hAnsi="Calibri" w:cs="Calibri"/>
          <w:sz w:val="24"/>
          <w:szCs w:val="24"/>
        </w:rPr>
        <w:t>razgovore s osobljem, pregled dokumenata i procjenu postupaka koje operater provodi u praksi</w:t>
      </w:r>
      <w:r w:rsidR="001D3BFC" w:rsidRPr="000611E2">
        <w:rPr>
          <w:rFonts w:ascii="Calibri" w:hAnsi="Calibri" w:cs="Calibri"/>
          <w:sz w:val="24"/>
          <w:szCs w:val="24"/>
        </w:rPr>
        <w:t xml:space="preserve">; </w:t>
      </w:r>
    </w:p>
    <w:p w:rsidR="0007038B" w:rsidRPr="000611E2" w:rsidRDefault="000611E2" w:rsidP="000611E2">
      <w:pPr>
        <w:widowControl w:val="0"/>
        <w:numPr>
          <w:ilvl w:val="0"/>
          <w:numId w:val="2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right="20" w:hanging="283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provjeru granica postrojenja, toka podataka i procjenu potpunosti tokova izvora i izvora emisija</w:t>
      </w:r>
      <w:r w:rsidR="001D3BFC" w:rsidRPr="000611E2">
        <w:rPr>
          <w:rFonts w:ascii="Calibri" w:hAnsi="Calibri" w:cs="Calibri"/>
          <w:sz w:val="24"/>
          <w:szCs w:val="24"/>
        </w:rPr>
        <w:t xml:space="preserve">; </w:t>
      </w:r>
    </w:p>
    <w:p w:rsidR="0007038B" w:rsidRPr="000611E2" w:rsidRDefault="000611E2" w:rsidP="000611E2">
      <w:pPr>
        <w:widowControl w:val="0"/>
        <w:numPr>
          <w:ilvl w:val="0"/>
          <w:numId w:val="2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right="20" w:hanging="283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stvarno ispitivanje kontrolnih aktivnosti i procjenu primjene postupaka koji su navedeni u odobrenom planu praćenja</w:t>
      </w:r>
      <w:r w:rsidR="001D3BFC" w:rsidRPr="000611E2">
        <w:rPr>
          <w:rFonts w:ascii="Calibri" w:hAnsi="Calibri" w:cs="Calibri"/>
          <w:sz w:val="24"/>
          <w:szCs w:val="24"/>
        </w:rPr>
        <w:t xml:space="preserve">; </w:t>
      </w:r>
    </w:p>
    <w:p w:rsidR="0007038B" w:rsidRPr="000611E2" w:rsidRDefault="000611E2" w:rsidP="000611E2">
      <w:pPr>
        <w:widowControl w:val="0"/>
        <w:numPr>
          <w:ilvl w:val="0"/>
          <w:numId w:val="2"/>
        </w:numPr>
        <w:tabs>
          <w:tab w:val="clear" w:pos="720"/>
          <w:tab w:val="num" w:pos="424"/>
        </w:tabs>
        <w:overflowPunct w:val="0"/>
        <w:autoSpaceDE w:val="0"/>
        <w:autoSpaceDN w:val="0"/>
        <w:adjustRightInd w:val="0"/>
        <w:spacing w:after="0" w:line="240" w:lineRule="auto"/>
        <w:ind w:left="424" w:hanging="283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prikupljanje fizičkih dokaza kroz procjenu mjerne opreme, sustava praćenja i procesa</w:t>
      </w:r>
      <w:r w:rsidR="001D3BFC" w:rsidRPr="000611E2">
        <w:rPr>
          <w:rFonts w:ascii="Calibri" w:hAnsi="Calibri" w:cs="Calibri"/>
          <w:sz w:val="24"/>
          <w:szCs w:val="24"/>
        </w:rPr>
        <w:t xml:space="preserve">. </w:t>
      </w:r>
    </w:p>
    <w:p w:rsidR="0007038B" w:rsidRPr="000611E2" w:rsidRDefault="0007038B" w:rsidP="0006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0611E2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Glavni EU ETS revizor obično osobno provodi terenski obilazak budući da je odgovoran/odgovorna za dodjeljivanje zadaća ostalim članovima tima i provedbu plana verifikacije. Glavni revizor odlučuje koji član tima provodi ili mu/joj se pridružuje u terenskom obilasku, kao i da li je tijekom terenskog obilaska potreban tehnički stručnjak</w:t>
      </w:r>
      <w:r w:rsidR="001D3BFC" w:rsidRPr="000611E2">
        <w:rPr>
          <w:rFonts w:ascii="Calibri" w:hAnsi="Calibri" w:cs="Calibri"/>
          <w:sz w:val="24"/>
          <w:szCs w:val="24"/>
        </w:rPr>
        <w:t>.</w:t>
      </w:r>
    </w:p>
    <w:p w:rsidR="0007038B" w:rsidRPr="000611E2" w:rsidRDefault="0007038B" w:rsidP="000611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56C" w:rsidRDefault="00BB756C" w:rsidP="00BB756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  <w:r w:rsidRPr="00FC20B4">
        <w:rPr>
          <w:rFonts w:ascii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3A4C47" wp14:editId="578CF30B">
                <wp:simplePos x="0" y="0"/>
                <wp:positionH relativeFrom="column">
                  <wp:posOffset>5758180</wp:posOffset>
                </wp:positionH>
                <wp:positionV relativeFrom="paragraph">
                  <wp:posOffset>497840</wp:posOffset>
                </wp:positionV>
                <wp:extent cx="556260" cy="564515"/>
                <wp:effectExtent l="0" t="0" r="0" b="6985"/>
                <wp:wrapNone/>
                <wp:docPr id="2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35" w:rsidRPr="00FC20B4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Čl. 9. </w:t>
                            </w:r>
                          </w:p>
                          <w:p w:rsidR="009F7335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t. 2. </w:t>
                            </w:r>
                          </w:p>
                          <w:p w:rsidR="009F7335" w:rsidRPr="00FC20B4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453.4pt;margin-top:39.2pt;width:43.8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" stroked="f">
                <v:textbox>
                  <w:txbxContent>
                    <w:p w:rsidR="009F7335" w:rsidRPr="00FC20B4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Čl. 9. </w:t>
                      </w:r>
                    </w:p>
                    <w:p w:rsidR="009F7335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</w:t>
                      </w:r>
                      <w:r w:rsidRPr="00FC20B4">
                        <w:rPr>
                          <w:b/>
                          <w:sz w:val="20"/>
                        </w:rPr>
                        <w:t xml:space="preserve">t. 2. </w:t>
                      </w:r>
                    </w:p>
                    <w:p w:rsidR="009F7335" w:rsidRPr="00FC20B4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  <w:r w:rsidR="00250C6A">
        <w:rPr>
          <w:rFonts w:ascii="Calibri" w:hAnsi="Calibri" w:cs="Calibri"/>
          <w:sz w:val="24"/>
          <w:szCs w:val="24"/>
        </w:rPr>
        <w:t xml:space="preserve">Ovisno o okolnostima i ishodu analize rizika, verifikator odlučuje o tomu jesu li potrebni obilasci dodatnih lokacija. Ako ciljevi određeni u skladu sa strateškom </w:t>
      </w:r>
      <w:r>
        <w:rPr>
          <w:rFonts w:ascii="Calibri" w:hAnsi="Calibri" w:cs="Calibri"/>
          <w:sz w:val="24"/>
          <w:szCs w:val="24"/>
        </w:rPr>
        <w:t xml:space="preserve">analizom </w:t>
      </w:r>
      <w:r w:rsidR="00250C6A">
        <w:rPr>
          <w:rFonts w:ascii="Calibri" w:hAnsi="Calibri" w:cs="Calibri"/>
          <w:sz w:val="24"/>
          <w:szCs w:val="24"/>
        </w:rPr>
        <w:t xml:space="preserve">i analizom rizika nisu ispunjeni tijekom terenskog obilaska, rezultat može biti potreba za više </w:t>
      </w:r>
      <w:r w:rsidR="00FC20B4">
        <w:rPr>
          <w:rFonts w:ascii="Calibri" w:hAnsi="Calibri" w:cs="Calibri"/>
          <w:sz w:val="24"/>
          <w:szCs w:val="24"/>
        </w:rPr>
        <w:t>testova provlačenja</w:t>
      </w:r>
      <w:r w:rsidR="001D3BFC">
        <w:rPr>
          <w:rFonts w:ascii="Calibri" w:hAnsi="Calibri" w:cs="Calibri"/>
          <w:sz w:val="24"/>
          <w:szCs w:val="24"/>
        </w:rPr>
        <w:t xml:space="preserve">, </w:t>
      </w:r>
      <w:r w:rsidR="00250C6A">
        <w:rPr>
          <w:rFonts w:ascii="Calibri" w:hAnsi="Calibri" w:cs="Calibri"/>
          <w:sz w:val="24"/>
          <w:szCs w:val="24"/>
        </w:rPr>
        <w:t>razgovora, uzorkovanja, revizija dokumenata, i moguće naknadnih terenskih obilazaka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U tim slučajevima možda će biti potrebno dodijeliti više vremena za verifikaciju i prilagoditi vrijeme koje je izvorno određeno u ugovoru.</w:t>
      </w: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BB756C" w:rsidRDefault="00BB756C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6D2D40" w:rsidRDefault="006D2D40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6D2D40" w:rsidRDefault="006D2D40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Pr="000611E2" w:rsidRDefault="00250C6A" w:rsidP="00250C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b/>
          <w:sz w:val="20"/>
          <w:szCs w:val="24"/>
        </w:rPr>
      </w:pPr>
      <w:r w:rsidRPr="00651DDE">
        <w:rPr>
          <w:rFonts w:ascii="Calibri" w:hAnsi="Calibri" w:cs="Calibri"/>
          <w:b/>
          <w:sz w:val="20"/>
          <w:szCs w:val="24"/>
        </w:rPr>
        <w:t>Č</w:t>
      </w:r>
      <w:r w:rsidRPr="000611E2">
        <w:rPr>
          <w:rFonts w:ascii="Calibri" w:hAnsi="Calibri" w:cs="Calibri"/>
          <w:b/>
          <w:sz w:val="20"/>
          <w:szCs w:val="24"/>
        </w:rPr>
        <w:t>l. 21.</w:t>
      </w:r>
    </w:p>
    <w:p w:rsidR="00250C6A" w:rsidRPr="000611E2" w:rsidRDefault="00250C6A" w:rsidP="00250C6A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" w:right="20"/>
        <w:jc w:val="both"/>
        <w:rPr>
          <w:rFonts w:ascii="Calibri" w:hAnsi="Calibri" w:cs="Calibri"/>
          <w:b/>
          <w:sz w:val="20"/>
          <w:szCs w:val="24"/>
        </w:rPr>
      </w:pPr>
      <w:r w:rsidRPr="000611E2">
        <w:rPr>
          <w:rFonts w:ascii="Calibri" w:hAnsi="Calibri" w:cs="Calibri"/>
          <w:b/>
          <w:sz w:val="20"/>
          <w:szCs w:val="24"/>
        </w:rPr>
        <w:t>UAV</w:t>
      </w: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501767" w:rsidRDefault="00501767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250C6A" w:rsidRDefault="00250C6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4" w:right="20"/>
        <w:jc w:val="both"/>
        <w:rPr>
          <w:rFonts w:ascii="Calibri" w:hAnsi="Calibri" w:cs="Calibri"/>
          <w:sz w:val="24"/>
          <w:szCs w:val="24"/>
        </w:rPr>
      </w:pPr>
    </w:p>
    <w:p w:rsidR="0007038B" w:rsidRPr="00332D38" w:rsidRDefault="00FC20B4" w:rsidP="00332D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 w:rsidRPr="00332D38">
        <w:rPr>
          <w:rFonts w:ascii="Calibri" w:hAnsi="Calibri" w:cs="Calibri"/>
          <w:sz w:val="24"/>
          <w:szCs w:val="24"/>
        </w:rPr>
        <w:t xml:space="preserve">Ako </w:t>
      </w:r>
      <w:r w:rsidR="00BB756C">
        <w:rPr>
          <w:rFonts w:ascii="Calibri" w:hAnsi="Calibri" w:cs="Calibri"/>
          <w:sz w:val="24"/>
          <w:szCs w:val="24"/>
        </w:rPr>
        <w:t xml:space="preserve">nije proveden </w:t>
      </w:r>
      <w:r w:rsidRPr="00332D38">
        <w:rPr>
          <w:rFonts w:ascii="Calibri" w:hAnsi="Calibri" w:cs="Calibri"/>
          <w:sz w:val="24"/>
          <w:szCs w:val="24"/>
        </w:rPr>
        <w:t>terensk</w:t>
      </w:r>
      <w:r w:rsidR="00BB756C">
        <w:rPr>
          <w:rFonts w:ascii="Calibri" w:hAnsi="Calibri" w:cs="Calibri"/>
          <w:sz w:val="24"/>
          <w:szCs w:val="24"/>
        </w:rPr>
        <w:t>i obilazak</w:t>
      </w:r>
      <w:r w:rsidRPr="00332D38">
        <w:rPr>
          <w:rFonts w:ascii="Calibri" w:hAnsi="Calibri" w:cs="Calibri"/>
          <w:sz w:val="24"/>
          <w:szCs w:val="24"/>
        </w:rPr>
        <w:t xml:space="preserve"> postrojenja, analiza procesa u većini slučajeva ne može </w:t>
      </w:r>
      <w:r w:rsidR="00BB756C">
        <w:rPr>
          <w:rFonts w:ascii="Calibri" w:hAnsi="Calibri" w:cs="Calibri"/>
          <w:sz w:val="24"/>
          <w:szCs w:val="24"/>
        </w:rPr>
        <w:t>dati</w:t>
      </w:r>
      <w:r w:rsidRPr="00332D38">
        <w:rPr>
          <w:rFonts w:ascii="Calibri" w:hAnsi="Calibri" w:cs="Calibri"/>
          <w:sz w:val="24"/>
          <w:szCs w:val="24"/>
        </w:rPr>
        <w:t xml:space="preserve"> dovoljno dokaza za donošenje zaključka s razumnim jamstvom da izvješće ne sadrži značajne netočnosti</w:t>
      </w:r>
      <w:r w:rsidR="001D3BFC" w:rsidRPr="00332D38">
        <w:rPr>
          <w:rFonts w:ascii="Calibri" w:hAnsi="Calibri" w:cs="Calibri"/>
          <w:sz w:val="24"/>
          <w:szCs w:val="24"/>
        </w:rPr>
        <w:t>.</w:t>
      </w:r>
    </w:p>
    <w:p w:rsidR="0007038B" w:rsidRPr="00332D38" w:rsidRDefault="0007038B" w:rsidP="00332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332D38" w:rsidRDefault="00585CA5" w:rsidP="00D655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 w:rsidRPr="00FC20B4">
        <w:rPr>
          <w:rFonts w:ascii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AEA0D9" wp14:editId="425D6379">
                <wp:simplePos x="0" y="0"/>
                <wp:positionH relativeFrom="column">
                  <wp:posOffset>5838825</wp:posOffset>
                </wp:positionH>
                <wp:positionV relativeFrom="paragraph">
                  <wp:posOffset>46521</wp:posOffset>
                </wp:positionV>
                <wp:extent cx="556260" cy="564515"/>
                <wp:effectExtent l="0" t="0" r="0" b="6985"/>
                <wp:wrapNone/>
                <wp:docPr id="2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35" w:rsidRPr="00FC20B4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21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  <w:p w:rsidR="009F7335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t.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  <w:p w:rsidR="009F7335" w:rsidRPr="00FC20B4" w:rsidRDefault="009F7335" w:rsidP="00D655CD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9.75pt;margin-top:3.65pt;width:43.8pt;height:44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" stroked="f">
                <v:textbox>
                  <w:txbxContent>
                    <w:p w:rsidR="009F7335" w:rsidRPr="00FC20B4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Čl. </w:t>
                      </w:r>
                      <w:r>
                        <w:rPr>
                          <w:b/>
                          <w:sz w:val="20"/>
                        </w:rPr>
                        <w:t>21</w:t>
                      </w:r>
                      <w:r w:rsidRPr="00FC20B4">
                        <w:rPr>
                          <w:b/>
                          <w:sz w:val="20"/>
                        </w:rPr>
                        <w:t xml:space="preserve">. </w:t>
                      </w:r>
                    </w:p>
                    <w:p w:rsidR="009F7335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</w:t>
                      </w:r>
                      <w:r w:rsidRPr="00FC20B4">
                        <w:rPr>
                          <w:b/>
                          <w:sz w:val="20"/>
                        </w:rPr>
                        <w:t xml:space="preserve">t. 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  <w:r w:rsidRPr="00FC20B4">
                        <w:rPr>
                          <w:b/>
                          <w:sz w:val="20"/>
                        </w:rPr>
                        <w:t xml:space="preserve">. </w:t>
                      </w:r>
                    </w:p>
                    <w:p w:rsidR="009F7335" w:rsidRPr="00FC20B4" w:rsidRDefault="009F7335" w:rsidP="00D655CD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  <w:r w:rsidR="00FC20B4" w:rsidRPr="00332D38">
        <w:rPr>
          <w:rFonts w:ascii="Calibri" w:hAnsi="Calibri" w:cs="Calibri"/>
          <w:sz w:val="24"/>
          <w:szCs w:val="24"/>
        </w:rPr>
        <w:t>U svrhu verifikacije izvješća nekih postrojenja, terenski obilasci uključuju nekoliko lokacija</w:t>
      </w:r>
      <w:r w:rsidR="00332D38" w:rsidRPr="00332D38">
        <w:rPr>
          <w:rStyle w:val="Referencafusnote"/>
          <w:rFonts w:ascii="Calibri" w:hAnsi="Calibri" w:cs="Calibri"/>
          <w:sz w:val="24"/>
          <w:szCs w:val="24"/>
        </w:rPr>
        <w:footnoteReference w:id="2"/>
      </w:r>
      <w:r w:rsidR="00FC20B4" w:rsidRPr="00332D38">
        <w:rPr>
          <w:rFonts w:ascii="Calibri" w:hAnsi="Calibri" w:cs="Calibri"/>
          <w:sz w:val="24"/>
          <w:szCs w:val="24"/>
        </w:rPr>
        <w:t xml:space="preserve">. </w:t>
      </w:r>
      <w:r w:rsidR="00332D38" w:rsidRPr="00332D38">
        <w:rPr>
          <w:rFonts w:ascii="Calibri" w:hAnsi="Calibri" w:cs="Calibri"/>
          <w:sz w:val="24"/>
          <w:szCs w:val="24"/>
        </w:rPr>
        <w:t>Aktivnosti na licu mjesta opisane su u planu verifikacije i načelno obuhvaćaju</w:t>
      </w:r>
      <w:r w:rsidR="001D3BFC" w:rsidRPr="00332D38">
        <w:rPr>
          <w:rFonts w:ascii="Calibri" w:hAnsi="Calibri" w:cs="Calibri"/>
          <w:sz w:val="24"/>
          <w:szCs w:val="24"/>
        </w:rPr>
        <w:t>:</w:t>
      </w:r>
    </w:p>
    <w:p w:rsidR="0007038B" w:rsidRPr="00113162" w:rsidRDefault="00113162" w:rsidP="00332D38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right="20" w:hanging="223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113162">
        <w:rPr>
          <w:rFonts w:ascii="Calibri" w:hAnsi="Calibri" w:cs="Calibri"/>
          <w:sz w:val="24"/>
          <w:szCs w:val="24"/>
        </w:rPr>
        <w:t>uzorkovanje</w:t>
      </w:r>
      <w:r>
        <w:rPr>
          <w:rStyle w:val="Referencafusnote"/>
          <w:rFonts w:ascii="Calibri" w:hAnsi="Calibri" w:cs="Calibri"/>
          <w:sz w:val="24"/>
          <w:szCs w:val="24"/>
        </w:rPr>
        <w:footnoteReference w:id="3"/>
      </w:r>
      <w:r w:rsidR="001D3BFC" w:rsidRPr="00113162">
        <w:rPr>
          <w:rFonts w:ascii="Calibri" w:hAnsi="Calibri" w:cs="Calibri"/>
          <w:sz w:val="24"/>
          <w:szCs w:val="24"/>
        </w:rPr>
        <w:t xml:space="preserve"> </w:t>
      </w:r>
      <w:r w:rsidRPr="00113162">
        <w:rPr>
          <w:rFonts w:ascii="Calibri" w:hAnsi="Calibri" w:cs="Calibri"/>
          <w:sz w:val="24"/>
          <w:szCs w:val="24"/>
        </w:rPr>
        <w:t>na lokaciji postrojenja u svrhu provjere da li plan praćenja (PP) odražava stvarno stanje, jesu li tokovi izvora i izvori emisija potpuni i jesu li podaci točni i jesu li ispunjeni svi zahtjevi</w:t>
      </w:r>
      <w:r w:rsidR="001D3BFC" w:rsidRPr="00113162">
        <w:rPr>
          <w:rFonts w:ascii="Calibri" w:hAnsi="Calibri" w:cs="Calibri"/>
          <w:sz w:val="24"/>
          <w:szCs w:val="24"/>
        </w:rPr>
        <w:t>;</w:t>
      </w:r>
    </w:p>
    <w:p w:rsidR="00065DF3" w:rsidRPr="00BB756C" w:rsidRDefault="00113162" w:rsidP="00065DF3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right="20" w:hanging="223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uzorkovanje u sjedištu postrojenja ili regionalnim uredima ako se tamo obrađuju ili čuvaju podaci o emisijama ili relevantni postupci</w:t>
      </w:r>
      <w:r w:rsidR="001D3BFC" w:rsidRPr="00332D38">
        <w:rPr>
          <w:rFonts w:ascii="Calibri" w:hAnsi="Calibri" w:cs="Calibri"/>
          <w:sz w:val="24"/>
          <w:szCs w:val="24"/>
        </w:rPr>
        <w:t xml:space="preserve">; </w:t>
      </w:r>
    </w:p>
    <w:p w:rsidR="0007038B" w:rsidRPr="00CB377B" w:rsidRDefault="00113162" w:rsidP="00CB377B">
      <w:pPr>
        <w:widowControl w:val="0"/>
        <w:numPr>
          <w:ilvl w:val="0"/>
          <w:numId w:val="4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right="20" w:hanging="2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uzorkovanje na bilo kojoj drugoj važnoj lokaciji gdje je potrebno obaviti verifikacijske zadatke: npr. objekti dobavljača goriva ako je to potrebno za procjenu točnosti </w:t>
      </w:r>
      <w:r w:rsidR="00CB377B">
        <w:rPr>
          <w:rFonts w:ascii="Calibri" w:hAnsi="Calibri" w:cs="Calibri"/>
          <w:sz w:val="24"/>
          <w:szCs w:val="24"/>
        </w:rPr>
        <w:t>prijavljenih podataka, ili za provedbu kontrolnih aktivnosti koje se ne nalaze na lokaciji postrojenja ili u sjedištu, a koje su važne za tok podataka i proces praćenja operatera</w:t>
      </w:r>
      <w:r w:rsidR="001D3BFC" w:rsidRPr="00CB377B">
        <w:rPr>
          <w:rFonts w:ascii="Calibri" w:hAnsi="Calibri" w:cs="Calibri"/>
          <w:sz w:val="24"/>
          <w:szCs w:val="24"/>
        </w:rPr>
        <w:t>.</w:t>
      </w:r>
    </w:p>
    <w:p w:rsidR="0007038B" w:rsidRPr="00332D38" w:rsidRDefault="0007038B" w:rsidP="00332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332D38" w:rsidRDefault="00CB377B" w:rsidP="00332D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Nije </w:t>
      </w:r>
      <w:r w:rsidR="00585CA5">
        <w:rPr>
          <w:rFonts w:ascii="Calibri" w:hAnsi="Calibri" w:cs="Calibri"/>
          <w:sz w:val="24"/>
          <w:szCs w:val="24"/>
        </w:rPr>
        <w:t>prikladno</w:t>
      </w:r>
      <w:r>
        <w:rPr>
          <w:rFonts w:ascii="Calibri" w:hAnsi="Calibri" w:cs="Calibri"/>
          <w:sz w:val="24"/>
          <w:szCs w:val="24"/>
        </w:rPr>
        <w:t xml:space="preserve"> obići samo sjedište operatera, a pritom ne obići postrojenje koje ispušta emisije. Obilazak samo </w:t>
      </w:r>
      <w:r w:rsidR="00D655CD">
        <w:rPr>
          <w:rFonts w:ascii="Calibri" w:hAnsi="Calibri" w:cs="Calibri"/>
          <w:sz w:val="24"/>
          <w:szCs w:val="24"/>
        </w:rPr>
        <w:t xml:space="preserve">sjedišta predstavljao bi odustajanje od terenskog obilaska budući da terenski obilazak postrojenja uključuje i obilazak onog postrojenja koje ispušta emisije. Osim za postrojenja s niskim emisijama, </w:t>
      </w:r>
      <w:r w:rsidR="00065DF3">
        <w:rPr>
          <w:rFonts w:ascii="Calibri" w:hAnsi="Calibri" w:cs="Calibri"/>
          <w:sz w:val="24"/>
          <w:szCs w:val="24"/>
        </w:rPr>
        <w:t>neprovođenje</w:t>
      </w:r>
      <w:r w:rsidR="00D655CD">
        <w:rPr>
          <w:rFonts w:ascii="Calibri" w:hAnsi="Calibri" w:cs="Calibri"/>
          <w:sz w:val="24"/>
          <w:szCs w:val="24"/>
        </w:rPr>
        <w:t xml:space="preserve"> obilaska postrojenja koje ispušta emisije zahtijeva odobrenje nadležnog tijela (NT) i dozvoljeno je samo ako su ispunjeni posebni uvjeti koji su navedeni u odjeljku 3. ove upute</w:t>
      </w:r>
      <w:r w:rsidR="001D3BFC" w:rsidRPr="00332D38">
        <w:rPr>
          <w:rFonts w:ascii="Calibri" w:hAnsi="Calibri" w:cs="Calibri"/>
          <w:sz w:val="24"/>
          <w:szCs w:val="24"/>
        </w:rPr>
        <w:t>.</w:t>
      </w:r>
    </w:p>
    <w:p w:rsidR="0007038B" w:rsidRPr="00332D38" w:rsidRDefault="0007038B" w:rsidP="00332D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332D38" w:rsidRDefault="001D3BFC" w:rsidP="00332D38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cs="Times New Roman"/>
          <w:sz w:val="24"/>
          <w:szCs w:val="24"/>
        </w:rPr>
      </w:pPr>
      <w:r w:rsidRPr="00332D38">
        <w:rPr>
          <w:rFonts w:cs="Calibri"/>
          <w:b/>
          <w:bCs/>
          <w:sz w:val="24"/>
          <w:szCs w:val="24"/>
        </w:rPr>
        <w:t xml:space="preserve">2. </w:t>
      </w:r>
      <w:r w:rsidR="00332D38" w:rsidRPr="00332D38">
        <w:rPr>
          <w:rFonts w:cs="Calibri"/>
          <w:b/>
          <w:bCs/>
          <w:sz w:val="24"/>
          <w:szCs w:val="24"/>
        </w:rPr>
        <w:t xml:space="preserve">Uloga analize rizika u odnosu na terenski obilazak </w:t>
      </w:r>
      <w:r w:rsidRPr="00332D38">
        <w:rPr>
          <w:rFonts w:cs="Calibri"/>
          <w:b/>
          <w:bCs/>
          <w:sz w:val="24"/>
          <w:szCs w:val="24"/>
        </w:rPr>
        <w:t xml:space="preserve"> </w:t>
      </w:r>
      <w:r w:rsidR="00332D38" w:rsidRPr="00332D38">
        <w:rPr>
          <w:rFonts w:cs="Calibri"/>
          <w:b/>
          <w:bCs/>
          <w:sz w:val="24"/>
          <w:szCs w:val="24"/>
        </w:rPr>
        <w:t xml:space="preserve"> </w:t>
      </w:r>
    </w:p>
    <w:p w:rsidR="00CF5A61" w:rsidRPr="00CF5A61" w:rsidRDefault="00113162" w:rsidP="00CF5A6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U </w:t>
      </w:r>
      <w:proofErr w:type="spellStart"/>
      <w:r w:rsidR="00585CA5">
        <w:rPr>
          <w:rFonts w:cs="Calibri"/>
          <w:sz w:val="24"/>
          <w:szCs w:val="24"/>
        </w:rPr>
        <w:t>verifikatorovoj</w:t>
      </w:r>
      <w:proofErr w:type="spellEnd"/>
      <w:r w:rsidR="00585CA5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analizi rizika procjenjuje se vjerojatnost rizika od netočnosti </w:t>
      </w:r>
      <w:r w:rsidR="00CB377B">
        <w:rPr>
          <w:rFonts w:cs="Calibri"/>
          <w:sz w:val="24"/>
          <w:szCs w:val="24"/>
        </w:rPr>
        <w:t xml:space="preserve">i/ili nesukladnosti, te </w:t>
      </w:r>
      <w:r w:rsidR="00D655CD">
        <w:rPr>
          <w:rFonts w:cs="Calibri"/>
          <w:sz w:val="24"/>
          <w:szCs w:val="24"/>
        </w:rPr>
        <w:t>vjerojatnost za njihov značajan utjecaj</w:t>
      </w:r>
      <w:r w:rsidR="00CB377B">
        <w:rPr>
          <w:rFonts w:cs="Calibri"/>
          <w:sz w:val="24"/>
          <w:szCs w:val="24"/>
        </w:rPr>
        <w:t xml:space="preserve"> na prijavljene podatke</w:t>
      </w:r>
      <w:r w:rsidR="00CB377B">
        <w:rPr>
          <w:rStyle w:val="Referencafusnote"/>
          <w:rFonts w:cs="Calibri"/>
          <w:sz w:val="24"/>
          <w:szCs w:val="24"/>
        </w:rPr>
        <w:footnoteReference w:id="4"/>
      </w:r>
      <w:r w:rsidR="00D655CD">
        <w:rPr>
          <w:rFonts w:cs="Calibri"/>
          <w:sz w:val="24"/>
          <w:szCs w:val="24"/>
        </w:rPr>
        <w:t>. Ovo će omogućiti organiziranje učinkovite verifikacije</w:t>
      </w:r>
      <w:r w:rsidR="001D3BFC" w:rsidRPr="00332D38">
        <w:rPr>
          <w:rFonts w:cs="Times New Roman"/>
          <w:sz w:val="24"/>
          <w:szCs w:val="24"/>
        </w:rPr>
        <w:t>.</w:t>
      </w:r>
      <w:r w:rsidR="001D3BFC" w:rsidRPr="00332D38">
        <w:rPr>
          <w:rFonts w:cs="Calibri"/>
          <w:sz w:val="24"/>
          <w:szCs w:val="24"/>
        </w:rPr>
        <w:t xml:space="preserve"> </w:t>
      </w:r>
      <w:r w:rsidR="00D655CD">
        <w:rPr>
          <w:rFonts w:cs="Calibri"/>
          <w:sz w:val="24"/>
          <w:szCs w:val="24"/>
        </w:rPr>
        <w:t>Dakle, analiza rizika nije samo odlučujući faktor za planiranje potrebe za terenskim obilaskom/obilascima</w:t>
      </w:r>
      <w:r w:rsidR="00585CA5">
        <w:rPr>
          <w:rFonts w:cs="Calibri"/>
          <w:sz w:val="24"/>
          <w:szCs w:val="24"/>
        </w:rPr>
        <w:t>, nego ima va</w:t>
      </w:r>
      <w:r w:rsidR="00D655CD">
        <w:rPr>
          <w:rFonts w:cs="Calibri"/>
          <w:sz w:val="24"/>
          <w:szCs w:val="24"/>
        </w:rPr>
        <w:t xml:space="preserve">žnu ulogu u organiziranju terenskih obilazaka, </w:t>
      </w:r>
      <w:r w:rsidR="00585CA5">
        <w:rPr>
          <w:rFonts w:cs="Calibri"/>
          <w:sz w:val="24"/>
          <w:szCs w:val="24"/>
        </w:rPr>
        <w:t>i</w:t>
      </w:r>
      <w:r w:rsidR="00D655CD">
        <w:rPr>
          <w:rFonts w:cs="Calibri"/>
          <w:sz w:val="24"/>
          <w:szCs w:val="24"/>
        </w:rPr>
        <w:t xml:space="preserve"> u osnovi određuje</w:t>
      </w:r>
      <w:r w:rsidR="001D3BFC" w:rsidRPr="00332D38">
        <w:rPr>
          <w:rFonts w:cs="Calibri"/>
          <w:sz w:val="24"/>
          <w:szCs w:val="24"/>
        </w:rPr>
        <w:t>:</w:t>
      </w:r>
    </w:p>
    <w:p w:rsidR="0007038B" w:rsidRPr="00332D38" w:rsidRDefault="00D655CD" w:rsidP="00332D38">
      <w:pPr>
        <w:widowControl w:val="0"/>
        <w:numPr>
          <w:ilvl w:val="0"/>
          <w:numId w:val="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223"/>
        <w:jc w:val="both"/>
        <w:rPr>
          <w:rFonts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broj lokacija koje treba obići  prilikom verifikacije postrojenja</w:t>
      </w:r>
      <w:r w:rsidR="001D3BFC" w:rsidRPr="00332D38">
        <w:rPr>
          <w:rFonts w:cs="Calibri"/>
          <w:sz w:val="24"/>
          <w:szCs w:val="24"/>
        </w:rPr>
        <w:t xml:space="preserve">; </w:t>
      </w:r>
      <w:r>
        <w:rPr>
          <w:rFonts w:cs="Calibri"/>
          <w:sz w:val="24"/>
          <w:szCs w:val="24"/>
        </w:rPr>
        <w:t>i</w:t>
      </w:r>
      <w:r w:rsidR="001D3BFC" w:rsidRPr="00332D38">
        <w:rPr>
          <w:rFonts w:cs="Calibri"/>
          <w:sz w:val="24"/>
          <w:szCs w:val="24"/>
        </w:rPr>
        <w:t xml:space="preserve"> </w:t>
      </w:r>
    </w:p>
    <w:p w:rsidR="0007038B" w:rsidRPr="00332D38" w:rsidRDefault="00CF5A61" w:rsidP="00332D38">
      <w:pPr>
        <w:widowControl w:val="0"/>
        <w:numPr>
          <w:ilvl w:val="0"/>
          <w:numId w:val="5"/>
        </w:numPr>
        <w:tabs>
          <w:tab w:val="clear" w:pos="720"/>
          <w:tab w:val="num" w:pos="364"/>
        </w:tabs>
        <w:overflowPunct w:val="0"/>
        <w:autoSpaceDE w:val="0"/>
        <w:autoSpaceDN w:val="0"/>
        <w:adjustRightInd w:val="0"/>
        <w:spacing w:after="0" w:line="240" w:lineRule="auto"/>
        <w:ind w:left="364" w:hanging="223"/>
        <w:jc w:val="both"/>
        <w:rPr>
          <w:rFonts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aktivnosti koje treba provesti tijekom terenskih obilazaka</w:t>
      </w:r>
      <w:r w:rsidR="001D3BFC" w:rsidRPr="00332D38">
        <w:rPr>
          <w:rFonts w:cs="Calibri"/>
          <w:sz w:val="24"/>
          <w:szCs w:val="24"/>
        </w:rPr>
        <w:t xml:space="preserve">. </w:t>
      </w:r>
    </w:p>
    <w:p w:rsidR="0007038B" w:rsidRPr="00332D38" w:rsidRDefault="00CF5A61" w:rsidP="00332D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 w:right="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113162">
        <w:rPr>
          <w:rFonts w:cs="Calibri"/>
          <w:sz w:val="24"/>
          <w:szCs w:val="24"/>
        </w:rPr>
        <w:t>ko analiza rizika ili analiza procesa upućuje na pitanja ili probleme koji se mogu riješiti samo drugim obilaskom ili obilaskom druge lokacije, verifikator provodi takav obilazak u svrhu rješavanja stvari.</w:t>
      </w:r>
    </w:p>
    <w:p w:rsidR="00113162" w:rsidRPr="00332D38" w:rsidRDefault="00113162" w:rsidP="00D655CD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20"/>
        <w:jc w:val="both"/>
        <w:rPr>
          <w:rFonts w:cs="Calibri"/>
          <w:sz w:val="24"/>
          <w:szCs w:val="24"/>
        </w:rPr>
      </w:pPr>
    </w:p>
    <w:tbl>
      <w:tblPr>
        <w:tblStyle w:val="Reetkatablice"/>
        <w:tblW w:w="9176" w:type="dxa"/>
        <w:tblInd w:w="4" w:type="dxa"/>
        <w:tblLook w:val="04A0" w:firstRow="1" w:lastRow="0" w:firstColumn="1" w:lastColumn="0" w:noHBand="0" w:noVBand="1"/>
      </w:tblPr>
      <w:tblGrid>
        <w:gridCol w:w="9176"/>
      </w:tblGrid>
      <w:tr w:rsidR="00332D38" w:rsidRPr="00332D38" w:rsidTr="00332D38">
        <w:tc>
          <w:tcPr>
            <w:tcW w:w="9176" w:type="dxa"/>
            <w:shd w:val="clear" w:color="auto" w:fill="FDE9D9" w:themeFill="accent6" w:themeFillTint="33"/>
          </w:tcPr>
          <w:p w:rsidR="00332D38" w:rsidRPr="00332D38" w:rsidRDefault="00332D38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</w:rPr>
            </w:pPr>
            <w:r w:rsidRPr="00332D38">
              <w:rPr>
                <w:rFonts w:cs="Times New Roman"/>
                <w:b/>
              </w:rPr>
              <w:t>Primjeri</w:t>
            </w:r>
            <w:r w:rsidRPr="00332D38">
              <w:rPr>
                <w:rFonts w:cs="Times New Roman"/>
              </w:rPr>
              <w:t xml:space="preserve"> </w:t>
            </w:r>
          </w:p>
        </w:tc>
      </w:tr>
      <w:tr w:rsidR="00332D38" w:rsidRPr="00332D38" w:rsidTr="00332D38">
        <w:tc>
          <w:tcPr>
            <w:tcW w:w="9176" w:type="dxa"/>
          </w:tcPr>
          <w:p w:rsidR="00332D38" w:rsidRPr="00332D38" w:rsidRDefault="00332D38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  <w:b/>
                <w:i/>
              </w:rPr>
            </w:pPr>
            <w:r w:rsidRPr="00332D38">
              <w:rPr>
                <w:rFonts w:cs="Times New Roman"/>
                <w:b/>
                <w:i/>
              </w:rPr>
              <w:t xml:space="preserve">Primjer 1: </w:t>
            </w:r>
          </w:p>
          <w:p w:rsidR="00332D38" w:rsidRPr="00332D38" w:rsidRDefault="00332D38" w:rsidP="00CF5A6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</w:rPr>
            </w:pPr>
            <w:r>
              <w:rPr>
                <w:rFonts w:ascii="Calibri" w:hAnsi="Calibri" w:cs="Calibri"/>
              </w:rPr>
              <w:t xml:space="preserve">Veliko elektroenergetsko poduzeće </w:t>
            </w:r>
            <w:r w:rsidR="00CF5A61">
              <w:rPr>
                <w:rFonts w:ascii="Calibri" w:hAnsi="Calibri" w:cs="Calibri"/>
              </w:rPr>
              <w:t>s brojnim proizvodnim postrojenjima može čuvati primarne podatke i ostale informacije na jednom mjestu u sjedištu poduzeća ili na drugim lokacijama. Za tako veliko i složeno poduzeće analiza rizika vjerojatno će upućivati na to da treba obići sjedište, druge lokacije i mjesto postrojenja kako bi se dobio potpun pregled postrojenja i procijenila točnost podatka.</w:t>
            </w:r>
          </w:p>
        </w:tc>
      </w:tr>
    </w:tbl>
    <w:p w:rsidR="00332D38" w:rsidRDefault="00332D38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332D38" w:rsidP="00332D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1" w:lineRule="exact"/>
        <w:rPr>
          <w:rFonts w:ascii="Calibri" w:hAnsi="Calibri" w:cs="Calibri"/>
          <w:sz w:val="26"/>
          <w:szCs w:val="26"/>
          <w:vertAlign w:val="superscript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32" w:lineRule="exact"/>
        <w:rPr>
          <w:rFonts w:ascii="Calibri" w:hAnsi="Calibri" w:cs="Calibri"/>
          <w:sz w:val="23"/>
          <w:szCs w:val="23"/>
          <w:vertAlign w:val="superscript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1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CF5A61" w:rsidRDefault="001D3BF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BB756C" w:rsidRDefault="00BB756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176" w:type="dxa"/>
        <w:tblInd w:w="4" w:type="dxa"/>
        <w:tblLook w:val="04A0" w:firstRow="1" w:lastRow="0" w:firstColumn="1" w:lastColumn="0" w:noHBand="0" w:noVBand="1"/>
      </w:tblPr>
      <w:tblGrid>
        <w:gridCol w:w="9176"/>
      </w:tblGrid>
      <w:tr w:rsidR="00CF5A61" w:rsidRPr="00332D38" w:rsidTr="009F7335">
        <w:tc>
          <w:tcPr>
            <w:tcW w:w="9176" w:type="dxa"/>
            <w:shd w:val="clear" w:color="auto" w:fill="FDE9D9" w:themeFill="accent6" w:themeFillTint="33"/>
          </w:tcPr>
          <w:p w:rsidR="00CF5A61" w:rsidRPr="00332D38" w:rsidRDefault="00CF5A61" w:rsidP="009F733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</w:rPr>
            </w:pPr>
            <w:r w:rsidRPr="00332D38">
              <w:rPr>
                <w:rFonts w:cs="Times New Roman"/>
                <w:b/>
              </w:rPr>
              <w:lastRenderedPageBreak/>
              <w:t>Primjeri</w:t>
            </w:r>
            <w:r w:rsidRPr="00332D38">
              <w:rPr>
                <w:rFonts w:cs="Times New Roman"/>
              </w:rPr>
              <w:t xml:space="preserve"> </w:t>
            </w:r>
          </w:p>
        </w:tc>
      </w:tr>
      <w:tr w:rsidR="00CF5A61" w:rsidRPr="00332D38" w:rsidTr="009F7335">
        <w:tc>
          <w:tcPr>
            <w:tcW w:w="9176" w:type="dxa"/>
          </w:tcPr>
          <w:p w:rsidR="00CF5A61" w:rsidRPr="00332D38" w:rsidRDefault="00CF5A61" w:rsidP="009F733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  <w:b/>
                <w:i/>
              </w:rPr>
            </w:pPr>
            <w:r w:rsidRPr="00332D38">
              <w:rPr>
                <w:rFonts w:cs="Times New Roman"/>
                <w:b/>
                <w:i/>
              </w:rPr>
              <w:t xml:space="preserve">Primjer </w:t>
            </w:r>
            <w:r>
              <w:rPr>
                <w:rFonts w:cs="Times New Roman"/>
                <w:b/>
                <w:i/>
              </w:rPr>
              <w:t>2</w:t>
            </w:r>
            <w:r w:rsidRPr="00332D38">
              <w:rPr>
                <w:rFonts w:cs="Times New Roman"/>
                <w:b/>
                <w:i/>
              </w:rPr>
              <w:t xml:space="preserve">: </w:t>
            </w:r>
          </w:p>
          <w:p w:rsidR="00CF5A61" w:rsidRDefault="00CF5A61" w:rsidP="00CF5A6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Međutim, ako postrojenje spada u jednostavno postrojenje u kategoriji B s nekoliko tokova izvora, koje koristi prirodni plin i </w:t>
            </w:r>
            <w:r w:rsidR="00585CA5">
              <w:rPr>
                <w:rFonts w:ascii="Calibri" w:hAnsi="Calibri" w:cs="Calibri"/>
              </w:rPr>
              <w:t xml:space="preserve">primjenjuje </w:t>
            </w:r>
            <w:r>
              <w:rPr>
                <w:rFonts w:ascii="Calibri" w:hAnsi="Calibri" w:cs="Calibri"/>
              </w:rPr>
              <w:t>kontinuirano mjerenje na vlastitom</w:t>
            </w:r>
            <w:r w:rsidR="00585CA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mjernom sustavu, vjerojatno je da će jedan terenski obilazak tijekom postupka verifikacije biti dovoljan, </w:t>
            </w:r>
            <w:r w:rsidR="00585CA5">
              <w:rPr>
                <w:rFonts w:ascii="Calibri" w:hAnsi="Calibri" w:cs="Calibri"/>
              </w:rPr>
              <w:t>te</w:t>
            </w:r>
            <w:r>
              <w:rPr>
                <w:rFonts w:ascii="Calibri" w:hAnsi="Calibri" w:cs="Calibri"/>
              </w:rPr>
              <w:t xml:space="preserve"> da se lokacije moje treba obići mogu ograničiti na lokaciju postrojenja, pod uvjetom da je to ujedno lokacija na kojoj se čuvaju evidencije i podaci.</w:t>
            </w:r>
          </w:p>
          <w:p w:rsidR="00CF5A61" w:rsidRDefault="00CF5A61" w:rsidP="00CF5A6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ascii="Calibri" w:hAnsi="Calibri" w:cs="Calibri"/>
              </w:rPr>
            </w:pPr>
          </w:p>
          <w:p w:rsidR="00CF5A61" w:rsidRPr="00332D38" w:rsidRDefault="00CF5A61" w:rsidP="00EE07DE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</w:rPr>
            </w:pPr>
            <w:r w:rsidRPr="00CF5A61">
              <w:rPr>
                <w:rFonts w:ascii="Calibri" w:hAnsi="Calibri" w:cs="Calibri"/>
                <w:b/>
              </w:rPr>
              <w:t>Napominjemo</w:t>
            </w:r>
            <w:r>
              <w:rPr>
                <w:rFonts w:ascii="Calibri" w:hAnsi="Calibri" w:cs="Calibri"/>
              </w:rPr>
              <w:t xml:space="preserve"> </w:t>
            </w:r>
            <w:r w:rsidR="00EE07DE">
              <w:rPr>
                <w:rFonts w:ascii="Calibri" w:hAnsi="Calibri" w:cs="Calibri"/>
              </w:rPr>
              <w:t>da je ovo samo primjer: takav scenarij nije ograničen na postrojenja u kategoriji B niti su sva postrojenja u kategoriji B s tokovima izvora koji koriste prirodni plin nužno jednostavna postrojenja. To uvelike ovisi o broju tokova izvora, kvaliteti mjerne opreme, baždarenju (umjeravanju) i ostalim uspostavljenim kontrolnim aktivnostima i postupcima.</w:t>
            </w:r>
          </w:p>
        </w:tc>
      </w:tr>
    </w:tbl>
    <w:p w:rsidR="0007038B" w:rsidRDefault="0007038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  <w:bookmarkStart w:id="3" w:name="page4"/>
      <w:bookmarkEnd w:id="3"/>
    </w:p>
    <w:p w:rsidR="0007038B" w:rsidRDefault="001D3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3. </w:t>
      </w:r>
      <w:r w:rsidR="00EE07DE">
        <w:rPr>
          <w:rFonts w:ascii="Calibri" w:hAnsi="Calibri" w:cs="Calibri"/>
          <w:b/>
          <w:bCs/>
          <w:sz w:val="24"/>
          <w:szCs w:val="24"/>
        </w:rPr>
        <w:t xml:space="preserve">Uvjeti za </w:t>
      </w:r>
      <w:r w:rsidR="00065DF3">
        <w:rPr>
          <w:rFonts w:ascii="Calibri" w:hAnsi="Calibri" w:cs="Calibri"/>
          <w:b/>
          <w:bCs/>
          <w:sz w:val="24"/>
          <w:szCs w:val="24"/>
        </w:rPr>
        <w:t>neprovođenje</w:t>
      </w:r>
      <w:r w:rsidR="00EE07DE">
        <w:rPr>
          <w:rFonts w:ascii="Calibri" w:hAnsi="Calibri" w:cs="Calibri"/>
          <w:b/>
          <w:bCs/>
          <w:sz w:val="24"/>
          <w:szCs w:val="24"/>
        </w:rPr>
        <w:t xml:space="preserve"> terenskog obilaska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E07DE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EE07DE">
      <w:pPr>
        <w:widowControl w:val="0"/>
        <w:overflowPunct w:val="0"/>
        <w:autoSpaceDE w:val="0"/>
        <w:autoSpaceDN w:val="0"/>
        <w:adjustRightInd w:val="0"/>
        <w:spacing w:after="0" w:line="21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UAV zahtijeva</w:t>
      </w:r>
      <w:r w:rsidR="00515E0A">
        <w:rPr>
          <w:rFonts w:ascii="Calibri" w:hAnsi="Calibri" w:cs="Calibri"/>
          <w:sz w:val="24"/>
          <w:szCs w:val="24"/>
        </w:rPr>
        <w:t xml:space="preserve"> provođenje terenskih obilazaka. Samo pod točno određenim uvjetima i u izvanrednim okolnostima moguće je odustati od terenskog obilaska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EE07DE" w:rsidRDefault="00EE07DE" w:rsidP="00EE07DE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039" w:type="dxa"/>
        <w:tblLook w:val="04A0" w:firstRow="1" w:lastRow="0" w:firstColumn="1" w:lastColumn="0" w:noHBand="0" w:noVBand="1"/>
      </w:tblPr>
      <w:tblGrid>
        <w:gridCol w:w="7673"/>
        <w:gridCol w:w="1366"/>
      </w:tblGrid>
      <w:tr w:rsidR="00EE07DE" w:rsidTr="00EE07DE">
        <w:tc>
          <w:tcPr>
            <w:tcW w:w="7763" w:type="dxa"/>
            <w:vAlign w:val="center"/>
          </w:tcPr>
          <w:p w:rsidR="00EE07DE" w:rsidRDefault="00EE07DE" w:rsidP="00EE07DE">
            <w:pPr>
              <w:widowControl w:val="0"/>
              <w:tabs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24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Članak 31. odnosi se isključivo na postrojenja. Posebni zahtjevi za operatere zrakoplova navedeni su u članku 31. UAV-a: ti zahtjevi nisu uključeni u ovoj uputi.</w:t>
            </w:r>
          </w:p>
          <w:p w:rsidR="00EE07DE" w:rsidRDefault="00EE07DE" w:rsidP="00EE07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E07DE" w:rsidRDefault="00EE07DE" w:rsidP="009F7335">
            <w:pPr>
              <w:rPr>
                <w:rFonts w:ascii="Times New Roman" w:hAnsi="Times New Roman"/>
                <w:sz w:val="24"/>
                <w:szCs w:val="24"/>
              </w:rPr>
            </w:pPr>
            <w:r w:rsidRPr="001900F1">
              <w:rPr>
                <w:rFonts w:ascii="Calibri" w:hAnsi="Calibri" w:cs="Calibr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703A310" wp14:editId="11938B1C">
                  <wp:extent cx="730573" cy="636104"/>
                  <wp:effectExtent l="0" t="0" r="0" b="0"/>
                  <wp:docPr id="23" name="Slika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576" cy="64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7038B" w:rsidRDefault="00EE07DE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00" w:right="1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038B" w:rsidRDefault="001D3BF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1158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7038B">
          <w:pgSz w:w="11900" w:h="16840"/>
          <w:pgMar w:top="1367" w:right="520" w:bottom="715" w:left="1420" w:header="720" w:footer="720" w:gutter="0"/>
          <w:cols w:num="2" w:space="320" w:equalWidth="0">
            <w:col w:w="9060" w:space="320"/>
            <w:col w:w="580"/>
          </w:cols>
          <w:noEndnote/>
        </w:sectPr>
      </w:pPr>
      <w:r w:rsidRPr="00065DF3">
        <w:rPr>
          <w:rFonts w:ascii="Calibri" w:hAnsi="Calibri" w:cs="Calibr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2A6FF" wp14:editId="21CD3D82">
                <wp:simplePos x="0" y="0"/>
                <wp:positionH relativeFrom="column">
                  <wp:posOffset>-75565</wp:posOffset>
                </wp:positionH>
                <wp:positionV relativeFrom="paragraph">
                  <wp:posOffset>26035</wp:posOffset>
                </wp:positionV>
                <wp:extent cx="556260" cy="564515"/>
                <wp:effectExtent l="0" t="0" r="0" b="6985"/>
                <wp:wrapNone/>
                <wp:docPr id="2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35" w:rsidRDefault="009F7335" w:rsidP="00065DF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31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  <w:p w:rsidR="009F7335" w:rsidRPr="00FC20B4" w:rsidRDefault="009F7335" w:rsidP="00065DF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95pt;margin-top:2.05pt;width:43.8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" stroked="f">
                <v:textbox>
                  <w:txbxContent>
                    <w:p w:rsidR="009F7335" w:rsidRDefault="009F7335" w:rsidP="00065DF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Čl. </w:t>
                      </w:r>
                      <w:r>
                        <w:rPr>
                          <w:b/>
                          <w:sz w:val="20"/>
                        </w:rPr>
                        <w:t>31</w:t>
                      </w:r>
                      <w:r w:rsidRPr="00FC20B4">
                        <w:rPr>
                          <w:b/>
                          <w:sz w:val="20"/>
                        </w:rPr>
                        <w:t xml:space="preserve">. </w:t>
                      </w:r>
                    </w:p>
                    <w:p w:rsidR="009F7335" w:rsidRPr="00FC20B4" w:rsidRDefault="009F7335" w:rsidP="00065DF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  <w:r w:rsidR="00EE07DE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07038B" w:rsidRDefault="00065D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DF3">
        <w:rPr>
          <w:rFonts w:ascii="Calibri" w:hAnsi="Calibri" w:cs="Calibri"/>
          <w:noProof/>
          <w:sz w:val="24"/>
          <w:szCs w:val="24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306BB" wp14:editId="53560A06">
                <wp:simplePos x="0" y="0"/>
                <wp:positionH relativeFrom="column">
                  <wp:posOffset>5834380</wp:posOffset>
                </wp:positionH>
                <wp:positionV relativeFrom="paragraph">
                  <wp:posOffset>163195</wp:posOffset>
                </wp:positionV>
                <wp:extent cx="556260" cy="564515"/>
                <wp:effectExtent l="0" t="0" r="0" b="6985"/>
                <wp:wrapNone/>
                <wp:docPr id="2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" cy="564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335" w:rsidRDefault="009F7335" w:rsidP="00065DF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Čl. </w:t>
                            </w:r>
                            <w:r>
                              <w:rPr>
                                <w:b/>
                                <w:sz w:val="20"/>
                              </w:rPr>
                              <w:t>31</w:t>
                            </w: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. </w:t>
                            </w:r>
                          </w:p>
                          <w:p w:rsidR="009F7335" w:rsidRDefault="009F7335" w:rsidP="00065DF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st. 1.</w:t>
                            </w:r>
                          </w:p>
                          <w:p w:rsidR="009F7335" w:rsidRPr="00FC20B4" w:rsidRDefault="009F7335" w:rsidP="00065DF3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</w:rPr>
                            </w:pPr>
                            <w:r w:rsidRPr="00FC20B4">
                              <w:rPr>
                                <w:b/>
                                <w:sz w:val="20"/>
                              </w:rPr>
                              <w:t xml:space="preserve">UAV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59.4pt;margin-top:12.85pt;width:43.8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" stroked="f">
                <v:textbox>
                  <w:txbxContent>
                    <w:p w:rsidR="009F7335" w:rsidRDefault="009F7335" w:rsidP="00065DF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Čl. </w:t>
                      </w:r>
                      <w:r>
                        <w:rPr>
                          <w:b/>
                          <w:sz w:val="20"/>
                        </w:rPr>
                        <w:t>31</w:t>
                      </w:r>
                      <w:r w:rsidRPr="00FC20B4">
                        <w:rPr>
                          <w:b/>
                          <w:sz w:val="20"/>
                        </w:rPr>
                        <w:t xml:space="preserve">. </w:t>
                      </w:r>
                    </w:p>
                    <w:p w:rsidR="009F7335" w:rsidRDefault="009F7335" w:rsidP="00065DF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st. 1.</w:t>
                      </w:r>
                    </w:p>
                    <w:p w:rsidR="009F7335" w:rsidRPr="00FC20B4" w:rsidRDefault="009F7335" w:rsidP="00065DF3">
                      <w:pPr>
                        <w:spacing w:after="0" w:line="240" w:lineRule="auto"/>
                        <w:rPr>
                          <w:b/>
                          <w:sz w:val="20"/>
                        </w:rPr>
                      </w:pPr>
                      <w:r w:rsidRPr="00FC20B4">
                        <w:rPr>
                          <w:b/>
                          <w:sz w:val="20"/>
                        </w:rPr>
                        <w:t xml:space="preserve">UAV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Uvjeti odustajanje od terenskih obilazaka postrojenja su sljedeći</w:t>
      </w:r>
      <w:r w:rsidR="001D3BFC">
        <w:rPr>
          <w:rFonts w:ascii="Calibri" w:hAnsi="Calibri" w:cs="Calibri"/>
          <w:sz w:val="24"/>
          <w:szCs w:val="24"/>
        </w:rPr>
        <w:t>: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5DF3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43"/>
        <w:jc w:val="both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verifikator je odlučio, na temelju</w:t>
      </w:r>
      <w:r w:rsidR="00115829">
        <w:rPr>
          <w:rFonts w:ascii="Calibri" w:hAnsi="Calibri" w:cs="Calibri"/>
          <w:sz w:val="24"/>
          <w:szCs w:val="24"/>
        </w:rPr>
        <w:t xml:space="preserve"> svoje</w:t>
      </w:r>
      <w:r>
        <w:rPr>
          <w:rFonts w:ascii="Calibri" w:hAnsi="Calibri" w:cs="Calibri"/>
          <w:sz w:val="24"/>
          <w:szCs w:val="24"/>
        </w:rPr>
        <w:t xml:space="preserve"> analize rizika, da je neprovođenje terenskog obilaska </w:t>
      </w:r>
      <w:r w:rsidR="001D3B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opravdano</w:t>
      </w:r>
      <w:r w:rsidR="001D3BFC">
        <w:rPr>
          <w:rFonts w:ascii="Calibri" w:hAnsi="Calibri" w:cs="Calibri"/>
          <w:sz w:val="24"/>
          <w:szCs w:val="24"/>
        </w:rPr>
        <w:t xml:space="preserve">;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92" w:lineRule="exact"/>
        <w:rPr>
          <w:rFonts w:ascii="Wingdings" w:hAnsi="Wingdings" w:cs="Wingdings"/>
          <w:sz w:val="20"/>
          <w:szCs w:val="20"/>
        </w:rPr>
      </w:pPr>
    </w:p>
    <w:p w:rsidR="0007038B" w:rsidRDefault="00065DF3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19" w:lineRule="auto"/>
        <w:ind w:left="280" w:right="20" w:hanging="143"/>
        <w:jc w:val="both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>verifikator je odredio, na temelju svoje analize rizika</w:t>
      </w:r>
      <w:r w:rsidR="001D3BF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da je omogućen daljinski pristup svim važnim podacima</w:t>
      </w:r>
      <w:r w:rsidR="001D3BFC">
        <w:rPr>
          <w:rFonts w:ascii="Calibri" w:hAnsi="Calibri" w:cs="Calibri"/>
          <w:sz w:val="24"/>
          <w:szCs w:val="24"/>
        </w:rPr>
        <w:t xml:space="preserve">;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8" w:lineRule="exact"/>
        <w:rPr>
          <w:rFonts w:ascii="Wingdings" w:hAnsi="Wingdings" w:cs="Wingdings"/>
          <w:sz w:val="20"/>
          <w:szCs w:val="20"/>
        </w:rPr>
      </w:pPr>
    </w:p>
    <w:p w:rsidR="0007038B" w:rsidRDefault="00065DF3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43"/>
        <w:jc w:val="both"/>
        <w:rPr>
          <w:rFonts w:ascii="Wingdings" w:hAnsi="Wingdings" w:cs="Wingdings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ispunjeni su kriteriji </w:t>
      </w:r>
      <w:r w:rsidR="00115829">
        <w:rPr>
          <w:rFonts w:ascii="Calibri" w:hAnsi="Calibri" w:cs="Calibri"/>
          <w:sz w:val="24"/>
          <w:szCs w:val="24"/>
        </w:rPr>
        <w:t xml:space="preserve">koje određuje </w:t>
      </w:r>
      <w:r>
        <w:rPr>
          <w:rFonts w:ascii="Calibri" w:hAnsi="Calibri" w:cs="Calibri"/>
          <w:sz w:val="24"/>
          <w:szCs w:val="24"/>
        </w:rPr>
        <w:t>Komisije</w:t>
      </w:r>
      <w:r w:rsidR="001D3BFC">
        <w:rPr>
          <w:rFonts w:ascii="Calibri" w:hAnsi="Calibri" w:cs="Calibri"/>
          <w:sz w:val="24"/>
          <w:szCs w:val="24"/>
        </w:rPr>
        <w:t xml:space="preserve">; </w:t>
      </w:r>
    </w:p>
    <w:p w:rsidR="0007038B" w:rsidRDefault="001D3BFC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07" w:lineRule="auto"/>
        <w:ind w:left="280" w:hanging="143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operat</w:t>
      </w:r>
      <w:r w:rsidR="00065DF3">
        <w:rPr>
          <w:rFonts w:ascii="Calibri" w:hAnsi="Calibri" w:cs="Calibri"/>
          <w:sz w:val="24"/>
          <w:szCs w:val="24"/>
        </w:rPr>
        <w:t>e</w:t>
      </w:r>
      <w:r>
        <w:rPr>
          <w:rFonts w:ascii="Calibri" w:hAnsi="Calibri" w:cs="Calibri"/>
          <w:sz w:val="24"/>
          <w:szCs w:val="24"/>
        </w:rPr>
        <w:t>r</w:t>
      </w:r>
      <w:r w:rsidR="00065DF3">
        <w:rPr>
          <w:rFonts w:ascii="Calibri" w:hAnsi="Calibri" w:cs="Calibri"/>
          <w:sz w:val="24"/>
          <w:szCs w:val="24"/>
        </w:rPr>
        <w:t xml:space="preserve"> dobije odobrenje NT-a za neprovođenje terenskog obilaska</w:t>
      </w:r>
      <w:r w:rsidR="00065DF3">
        <w:rPr>
          <w:rStyle w:val="Referencafusnote"/>
          <w:rFonts w:ascii="Calibri" w:hAnsi="Calibri" w:cs="Calibri"/>
          <w:sz w:val="24"/>
          <w:szCs w:val="24"/>
        </w:rPr>
        <w:footnoteReference w:id="5"/>
      </w:r>
      <w:r w:rsidR="00065DF3">
        <w:rPr>
          <w:rFonts w:ascii="Calibri" w:hAnsi="Calibri" w:cs="Calibri"/>
          <w:sz w:val="32"/>
          <w:szCs w:val="32"/>
          <w:vertAlign w:val="superscript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AD2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Opravdanje neprovođenja terenskog obilaska na temelju analize rizika 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AD2791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Prilikom razmatranja </w:t>
      </w:r>
      <w:r w:rsidR="00115829">
        <w:rPr>
          <w:rFonts w:ascii="Calibri" w:hAnsi="Calibri" w:cs="Calibri"/>
          <w:sz w:val="24"/>
          <w:szCs w:val="24"/>
        </w:rPr>
        <w:t>opravdanosti</w:t>
      </w:r>
      <w:r>
        <w:rPr>
          <w:rFonts w:ascii="Calibri" w:hAnsi="Calibri" w:cs="Calibri"/>
          <w:sz w:val="24"/>
          <w:szCs w:val="24"/>
        </w:rPr>
        <w:t xml:space="preserve"> odusta</w:t>
      </w:r>
      <w:r w:rsidR="00115829">
        <w:rPr>
          <w:rFonts w:ascii="Calibri" w:hAnsi="Calibri" w:cs="Calibri"/>
          <w:sz w:val="24"/>
          <w:szCs w:val="24"/>
        </w:rPr>
        <w:t xml:space="preserve">janja </w:t>
      </w:r>
      <w:r>
        <w:rPr>
          <w:rFonts w:ascii="Calibri" w:hAnsi="Calibri" w:cs="Calibri"/>
          <w:sz w:val="24"/>
          <w:szCs w:val="24"/>
        </w:rPr>
        <w:t>od terenskog obilaska, verifikator mora temeljiti zaključa</w:t>
      </w:r>
      <w:r w:rsidR="00115829">
        <w:rPr>
          <w:rFonts w:ascii="Calibri" w:hAnsi="Calibri" w:cs="Calibri"/>
          <w:sz w:val="24"/>
          <w:szCs w:val="24"/>
        </w:rPr>
        <w:t>k</w:t>
      </w:r>
      <w:r>
        <w:rPr>
          <w:rFonts w:ascii="Calibri" w:hAnsi="Calibri" w:cs="Calibri"/>
          <w:sz w:val="24"/>
          <w:szCs w:val="24"/>
        </w:rPr>
        <w:t xml:space="preserve"> na vlastitoj analizi rizika</w:t>
      </w:r>
      <w:r w:rsidR="001D3BFC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a osobito procjen</w:t>
      </w:r>
      <w:r w:rsidR="00115829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rizika zbog neprovođenja terenskog obilaska postrojenja. </w:t>
      </w:r>
      <w:r w:rsidR="009F7335">
        <w:rPr>
          <w:rFonts w:ascii="Calibri" w:hAnsi="Calibri" w:cs="Calibri"/>
          <w:sz w:val="24"/>
          <w:szCs w:val="24"/>
        </w:rPr>
        <w:t xml:space="preserve">Kao što je objašnjeno u Ključnoj uputi za analizu rizika (KUP </w:t>
      </w:r>
      <w:r w:rsidR="001D3BFC">
        <w:rPr>
          <w:rFonts w:ascii="Calibri" w:hAnsi="Calibri" w:cs="Calibri"/>
          <w:sz w:val="24"/>
          <w:szCs w:val="24"/>
        </w:rPr>
        <w:t xml:space="preserve">II.2), </w:t>
      </w:r>
      <w:r w:rsidR="009F7335">
        <w:rPr>
          <w:rFonts w:ascii="Calibri" w:hAnsi="Calibri" w:cs="Calibri"/>
          <w:sz w:val="24"/>
          <w:szCs w:val="24"/>
        </w:rPr>
        <w:t>analiza rizika je iterativni proces i podliježe promjenama kao rezultat nalaza i dodatne analize rizika tijekom verifikacijskog postupka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 w:rsidR="009F7335">
        <w:rPr>
          <w:rFonts w:ascii="Calibri" w:hAnsi="Calibri" w:cs="Calibri"/>
          <w:sz w:val="24"/>
          <w:szCs w:val="24"/>
        </w:rPr>
        <w:t xml:space="preserve">Dakle, čak i ako je NT već odobrio neprovođenje terenskog obilaska, to ne oslobađa verifikator od ažuriranja svoje analize rizika i prilagođavanja plana verifikacije ako </w:t>
      </w:r>
      <w:r w:rsidR="00115829">
        <w:rPr>
          <w:rFonts w:ascii="Calibri" w:hAnsi="Calibri" w:cs="Calibri"/>
          <w:sz w:val="24"/>
          <w:szCs w:val="24"/>
        </w:rPr>
        <w:t>utvrdi</w:t>
      </w:r>
      <w:r w:rsidR="009F7335">
        <w:rPr>
          <w:rFonts w:ascii="Calibri" w:hAnsi="Calibri" w:cs="Calibri"/>
          <w:sz w:val="24"/>
          <w:szCs w:val="24"/>
        </w:rPr>
        <w:t xml:space="preserve"> veće inherentne i kontrolne rizike nego što se u početku smatralo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AD2791" w:rsidP="001158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Rezultat može biti situacija u kojoj veličina rizika zahtijeva da verifikator ipak provede terenski obilazak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U tom slučaju verifikator mora </w:t>
      </w:r>
      <w:r w:rsidR="00115829">
        <w:rPr>
          <w:rFonts w:ascii="Calibri" w:hAnsi="Calibri" w:cs="Calibri"/>
          <w:sz w:val="24"/>
          <w:szCs w:val="24"/>
        </w:rPr>
        <w:t xml:space="preserve">obići </w:t>
      </w:r>
      <w:r>
        <w:rPr>
          <w:rFonts w:ascii="Calibri" w:hAnsi="Calibri" w:cs="Calibri"/>
          <w:sz w:val="24"/>
          <w:szCs w:val="24"/>
        </w:rPr>
        <w:t>lokacij</w:t>
      </w:r>
      <w:r w:rsidR="00115829">
        <w:rPr>
          <w:rFonts w:ascii="Calibri" w:hAnsi="Calibri" w:cs="Calibri"/>
          <w:sz w:val="24"/>
          <w:szCs w:val="24"/>
        </w:rPr>
        <w:t>u</w:t>
      </w:r>
      <w:r>
        <w:rPr>
          <w:rFonts w:ascii="Calibri" w:hAnsi="Calibri" w:cs="Calibri"/>
          <w:sz w:val="24"/>
          <w:szCs w:val="24"/>
        </w:rPr>
        <w:t xml:space="preserve"> predmetnog postrojenja bez obzira na prethodno odobrenje NT-a </w:t>
      </w:r>
      <w:r w:rsidR="00115829">
        <w:rPr>
          <w:rFonts w:ascii="Calibri" w:hAnsi="Calibri" w:cs="Calibri"/>
          <w:sz w:val="24"/>
          <w:szCs w:val="24"/>
        </w:rPr>
        <w:t>z</w:t>
      </w:r>
      <w:r>
        <w:rPr>
          <w:rFonts w:ascii="Calibri" w:hAnsi="Calibri" w:cs="Calibri"/>
          <w:sz w:val="24"/>
          <w:szCs w:val="24"/>
        </w:rPr>
        <w:t>a neprovođenje terenskog obilaska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 w:rsidR="009F7335">
        <w:rPr>
          <w:rFonts w:ascii="Calibri" w:hAnsi="Calibri" w:cs="Calibri"/>
          <w:sz w:val="24"/>
          <w:szCs w:val="24"/>
        </w:rPr>
        <w:t>Ukratko, verifikator je u svakom trenutku odgovoran i ne smije koristiti odobrenje NT-a kao izgovor za neprovođenje obilaska ako analiza rizika (izvorna ili ažurirana) pokazuje da je terenski obilazak potreban.</w:t>
      </w:r>
      <w:r w:rsidR="001D3BFC">
        <w:rPr>
          <w:rFonts w:ascii="Times New Roman" w:hAnsi="Times New Roman" w:cs="Times New Roman"/>
          <w:sz w:val="24"/>
          <w:szCs w:val="24"/>
        </w:rPr>
        <w:br w:type="column"/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65DF3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19"/>
          <w:szCs w:val="19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5FB" w:rsidRDefault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765FB">
          <w:type w:val="continuous"/>
          <w:pgSz w:w="11900" w:h="16840"/>
          <w:pgMar w:top="1367" w:right="320" w:bottom="715" w:left="1420" w:header="720" w:footer="720" w:gutter="0"/>
          <w:cols w:num="2" w:space="300" w:equalWidth="0">
            <w:col w:w="9080" w:space="300"/>
            <w:col w:w="780"/>
          </w:cols>
          <w:noEndnote/>
        </w:sectPr>
      </w:pPr>
    </w:p>
    <w:p w:rsidR="0007038B" w:rsidRDefault="00AD2791" w:rsidP="00AD27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4" w:name="page5"/>
      <w:bookmarkEnd w:id="4"/>
    </w:p>
    <w:p w:rsidR="0007038B" w:rsidRDefault="009F733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Sljedeći primjeri verifikacijskih rizika trebaju </w:t>
      </w:r>
      <w:r w:rsidR="00115829">
        <w:rPr>
          <w:rFonts w:ascii="Calibri" w:hAnsi="Calibri" w:cs="Calibri"/>
          <w:sz w:val="24"/>
          <w:szCs w:val="24"/>
        </w:rPr>
        <w:t>se</w:t>
      </w:r>
      <w:r>
        <w:rPr>
          <w:rFonts w:ascii="Calibri" w:hAnsi="Calibri" w:cs="Calibri"/>
          <w:sz w:val="24"/>
          <w:szCs w:val="24"/>
        </w:rPr>
        <w:t xml:space="preserve"> uzeti u obzir </w:t>
      </w:r>
      <w:r w:rsidR="001D3BF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analizi rizika </w:t>
      </w:r>
      <w:r w:rsidR="00115829">
        <w:rPr>
          <w:rFonts w:ascii="Calibri" w:hAnsi="Calibri" w:cs="Calibri"/>
          <w:sz w:val="24"/>
          <w:szCs w:val="24"/>
        </w:rPr>
        <w:t xml:space="preserve">koju provodi </w:t>
      </w:r>
      <w:r>
        <w:rPr>
          <w:rFonts w:ascii="Calibri" w:hAnsi="Calibri" w:cs="Calibri"/>
          <w:sz w:val="24"/>
          <w:szCs w:val="24"/>
        </w:rPr>
        <w:t>verifikator</w:t>
      </w:r>
      <w:r w:rsidR="00115829">
        <w:rPr>
          <w:rFonts w:ascii="Calibri" w:hAnsi="Calibri" w:cs="Calibri"/>
          <w:sz w:val="24"/>
          <w:szCs w:val="24"/>
        </w:rPr>
        <w:t xml:space="preserve"> s obzirom na mogućnost</w:t>
      </w:r>
      <w:r>
        <w:rPr>
          <w:rFonts w:ascii="Calibri" w:hAnsi="Calibri" w:cs="Calibri"/>
          <w:sz w:val="24"/>
          <w:szCs w:val="24"/>
        </w:rPr>
        <w:t xml:space="preserve"> za neprovođenje terenskog obilaska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9F7335" w:rsidRDefault="009F733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9176" w:type="dxa"/>
        <w:tblInd w:w="4" w:type="dxa"/>
        <w:tblLook w:val="04A0" w:firstRow="1" w:lastRow="0" w:firstColumn="1" w:lastColumn="0" w:noHBand="0" w:noVBand="1"/>
      </w:tblPr>
      <w:tblGrid>
        <w:gridCol w:w="9176"/>
      </w:tblGrid>
      <w:tr w:rsidR="009F7335" w:rsidRPr="00332D38" w:rsidTr="009F7335">
        <w:tc>
          <w:tcPr>
            <w:tcW w:w="9176" w:type="dxa"/>
            <w:shd w:val="clear" w:color="auto" w:fill="FDE9D9" w:themeFill="accent6" w:themeFillTint="33"/>
          </w:tcPr>
          <w:p w:rsidR="009F7335" w:rsidRPr="00332D38" w:rsidRDefault="009F7335" w:rsidP="009F7335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auto"/>
              <w:ind w:right="20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Verifikacijski rizici prilikom odustajanja od terenskog obilaska </w:t>
            </w:r>
            <w:r w:rsidRPr="00332D38">
              <w:rPr>
                <w:rFonts w:cs="Times New Roman"/>
              </w:rPr>
              <w:t xml:space="preserve"> </w:t>
            </w:r>
          </w:p>
        </w:tc>
      </w:tr>
      <w:tr w:rsidR="009F7335" w:rsidRPr="00332D38" w:rsidTr="009F7335">
        <w:tc>
          <w:tcPr>
            <w:tcW w:w="9176" w:type="dxa"/>
          </w:tcPr>
          <w:p w:rsidR="009F7335" w:rsidRPr="009F7335" w:rsidRDefault="00BB5254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Zaključci strateške analize i analize rizika mogu se temeljiti na netočnim informacijama, a posljedica toga je neispravan plan verifikacije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  <w:p w:rsidR="009F7335" w:rsidRPr="009F7335" w:rsidRDefault="00BB5254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Verifikator ne može potvrditi opseg postrojenja i odobreni PP jer ne može dobiti uvid u sve izvore emisija i tokove izvora koji se odnose na postrojenje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  <w:p w:rsidR="009F7335" w:rsidRPr="009F7335" w:rsidRDefault="00BB5254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Verifikator ne može potvrditi zahtjeve razine u odnosu na mjerenje itd. budući da ne može potvrditi da fizička brojila odgovaraju opisu</w:t>
            </w:r>
            <w:r w:rsidR="009F7335" w:rsidRPr="009F73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 PP-u, </w:t>
            </w:r>
            <w:r w:rsidR="000711E5">
              <w:rPr>
                <w:rFonts w:ascii="Calibri" w:hAnsi="Calibri" w:cs="Calibri"/>
              </w:rPr>
              <w:t xml:space="preserve">ni </w:t>
            </w:r>
            <w:r w:rsidR="00EB2631">
              <w:rPr>
                <w:rFonts w:ascii="Calibri" w:hAnsi="Calibri" w:cs="Calibri"/>
              </w:rPr>
              <w:t>ispravnost ugradnje</w:t>
            </w:r>
            <w:r w:rsidR="000711E5">
              <w:rPr>
                <w:rFonts w:ascii="Calibri" w:hAnsi="Calibri" w:cs="Calibri"/>
              </w:rPr>
              <w:t xml:space="preserve"> i </w:t>
            </w:r>
            <w:r w:rsidR="00EB2631">
              <w:rPr>
                <w:rFonts w:ascii="Calibri" w:hAnsi="Calibri" w:cs="Calibri"/>
              </w:rPr>
              <w:t xml:space="preserve">ispunjavanje </w:t>
            </w:r>
            <w:r w:rsidR="000711E5">
              <w:rPr>
                <w:rFonts w:ascii="Calibri" w:hAnsi="Calibri" w:cs="Calibri"/>
              </w:rPr>
              <w:t>zahtjev</w:t>
            </w:r>
            <w:r w:rsidR="00EB2631">
              <w:rPr>
                <w:rFonts w:ascii="Calibri" w:hAnsi="Calibri" w:cs="Calibri"/>
              </w:rPr>
              <w:t>a</w:t>
            </w:r>
            <w:r w:rsidR="000711E5">
              <w:rPr>
                <w:rFonts w:ascii="Calibri" w:hAnsi="Calibri" w:cs="Calibri"/>
              </w:rPr>
              <w:t xml:space="preserve"> odražavanja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  <w:p w:rsidR="009F7335" w:rsidRPr="009F7335" w:rsidRDefault="000711E5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 xml:space="preserve">Verifikator ne može </w:t>
            </w:r>
            <w:r w:rsidRPr="000711E5">
              <w:rPr>
                <w:rFonts w:ascii="Calibri" w:hAnsi="Calibri" w:cs="Calibri"/>
                <w:i/>
              </w:rPr>
              <w:t>'potvrditi valjanost informacija koje su korištenje za izračunavanje razine nesigurnosti kako je određena u odobrenom PP-u'</w:t>
            </w:r>
            <w:r>
              <w:rPr>
                <w:rFonts w:ascii="Calibri" w:hAnsi="Calibri" w:cs="Calibri"/>
              </w:rPr>
              <w:t>.</w:t>
            </w:r>
            <w:r w:rsidR="009F7335" w:rsidRPr="009F7335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 </w:t>
            </w:r>
            <w:r w:rsidR="009F7335" w:rsidRPr="009F7335">
              <w:rPr>
                <w:rFonts w:ascii="Calibri" w:hAnsi="Calibri" w:cs="Calibri"/>
                <w:i/>
                <w:iCs/>
              </w:rPr>
              <w:t xml:space="preserve"> </w:t>
            </w:r>
          </w:p>
          <w:p w:rsidR="009F7335" w:rsidRPr="009F7335" w:rsidRDefault="000711E5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Verifikator ne m</w:t>
            </w:r>
            <w:r w:rsidR="006057B7">
              <w:rPr>
                <w:rFonts w:ascii="Calibri" w:hAnsi="Calibri" w:cs="Calibri"/>
              </w:rPr>
              <w:t>ože provjeriti je li bilo promjena PP-a koje nisu odobrene ili o kojima nije obaviješteno nadležno tijelo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  <w:p w:rsidR="009F7335" w:rsidRPr="009F7335" w:rsidRDefault="006057B7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Verifikator ne može provjeriti učinkovitost i pravilnu provedbu aktivnosti toka podataka i kontrolnih aktivnosti koje su provedene u svrhu ublažavanja rizika koji se odnose na tok podataka (inherentni rizici)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  <w:p w:rsidR="009F7335" w:rsidRPr="009F7335" w:rsidRDefault="006057B7" w:rsidP="009F7335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Verifikator ne može provjeriti da li je praćenje i izvještavanje o emisijama postrojenja u skladu sa zahtjevima PP-a i Uredbe o praćenju i izvješćivanju (UPI)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t xml:space="preserve">Sveukupno gledano, verifikator ne može obaviti </w:t>
            </w:r>
            <w:r w:rsidR="003E2417">
              <w:rPr>
                <w:rFonts w:ascii="Calibri" w:hAnsi="Calibri" w:cs="Calibri"/>
              </w:rPr>
              <w:t>test provlačenja</w:t>
            </w:r>
            <w:r w:rsidR="009F7335" w:rsidRPr="009F7335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t xml:space="preserve">razgovore i revizije dokumenata i podataka (uključujući </w:t>
            </w:r>
            <w:proofErr w:type="spellStart"/>
            <w:r>
              <w:rPr>
                <w:rFonts w:ascii="Calibri" w:hAnsi="Calibri" w:cs="Calibri"/>
              </w:rPr>
              <w:t>sljedivost</w:t>
            </w:r>
            <w:proofErr w:type="spellEnd"/>
            <w:r>
              <w:rPr>
                <w:rFonts w:ascii="Calibri" w:hAnsi="Calibri" w:cs="Calibri"/>
              </w:rPr>
              <w:t xml:space="preserve"> podataka o emisijama do izvora, i horizontalne i vertikalne provjere valjanosti, npr. unakrsnom provjerom dnevnika, inventara ili sličnih izvora podataka) kako bi sastavio primjereno verifikacijsko mišljenje</w:t>
            </w:r>
            <w:r w:rsidR="009F7335" w:rsidRPr="009F7335">
              <w:rPr>
                <w:rFonts w:ascii="Calibri" w:hAnsi="Calibri" w:cs="Calibri"/>
                <w:i/>
                <w:iCs/>
              </w:rPr>
              <w:t>.</w:t>
            </w:r>
            <w:r w:rsidR="009F7335" w:rsidRPr="009F7335">
              <w:rPr>
                <w:rFonts w:ascii="Calibri" w:hAnsi="Calibri" w:cs="Calibri"/>
              </w:rPr>
              <w:t xml:space="preserve"> </w:t>
            </w:r>
          </w:p>
          <w:p w:rsidR="009F7335" w:rsidRPr="00BB5254" w:rsidRDefault="00BB5254" w:rsidP="00BB5254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284"/>
              </w:tabs>
              <w:overflowPunct w:val="0"/>
              <w:autoSpaceDE w:val="0"/>
              <w:autoSpaceDN w:val="0"/>
              <w:adjustRightInd w:val="0"/>
              <w:ind w:left="284" w:right="100" w:hanging="174"/>
              <w:jc w:val="both"/>
              <w:rPr>
                <w:rFonts w:ascii="Wingdings" w:hAnsi="Wingdings" w:cs="Wingdings"/>
                <w:vertAlign w:val="superscript"/>
              </w:rPr>
            </w:pPr>
            <w:r>
              <w:rPr>
                <w:rFonts w:ascii="Calibri" w:hAnsi="Calibri" w:cs="Calibri"/>
              </w:rPr>
              <w:t>Objavljeno je netočno verifikacijsko mišljenje koje se temelji na netočnom izvješću o emisijama, a posljedica je netočan broj emisijskih jedinica koje se predaju u travnju</w:t>
            </w:r>
            <w:r w:rsidR="009F7335" w:rsidRPr="009F7335">
              <w:rPr>
                <w:rFonts w:ascii="Calibri" w:hAnsi="Calibri" w:cs="Calibri"/>
              </w:rPr>
              <w:t xml:space="preserve">. </w:t>
            </w:r>
          </w:p>
        </w:tc>
      </w:tr>
    </w:tbl>
    <w:p w:rsidR="009F7335" w:rsidRDefault="009F733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4"/>
        <w:rPr>
          <w:rFonts w:ascii="Calibri" w:hAnsi="Calibri" w:cs="Calibri"/>
          <w:sz w:val="24"/>
          <w:szCs w:val="24"/>
        </w:rPr>
      </w:pPr>
    </w:p>
    <w:p w:rsidR="0007038B" w:rsidRDefault="00D840D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slučajevima kada se odustalo od terenskog obilaska</w:t>
      </w:r>
      <w:r w:rsidR="00EB2631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verifikator treba koristiti alternativno sredstvo verifikacije kako bi smanjio potencijal da gore navedeni rizici rezultiraju u netočnostima ili neuočavanju nesukladnosti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D840D7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Svim relevantnim podacima omogućen je daljinski pristup  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D840D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Verifikator mora pokazati da je, na temelju njegove analize rizika, omogućen </w:t>
      </w:r>
      <w:r w:rsidR="00BB5254">
        <w:rPr>
          <w:rFonts w:ascii="Calibri" w:hAnsi="Calibri" w:cs="Calibri"/>
          <w:sz w:val="24"/>
          <w:szCs w:val="24"/>
        </w:rPr>
        <w:t>daljinski</w:t>
      </w:r>
      <w:r>
        <w:rPr>
          <w:rFonts w:ascii="Calibri" w:hAnsi="Calibri" w:cs="Calibri"/>
          <w:sz w:val="24"/>
          <w:szCs w:val="24"/>
        </w:rPr>
        <w:t xml:space="preserve"> </w:t>
      </w:r>
      <w:r w:rsidR="00BB5254">
        <w:rPr>
          <w:rFonts w:ascii="Calibri" w:hAnsi="Calibri" w:cs="Calibri"/>
          <w:sz w:val="24"/>
          <w:szCs w:val="24"/>
        </w:rPr>
        <w:t>pristup</w:t>
      </w:r>
      <w:r>
        <w:rPr>
          <w:rFonts w:ascii="Calibri" w:hAnsi="Calibri" w:cs="Calibri"/>
          <w:sz w:val="24"/>
          <w:szCs w:val="24"/>
        </w:rPr>
        <w:t xml:space="preserve"> svim bitnim podacima. Verifikator mora </w:t>
      </w:r>
      <w:r w:rsidR="00BB5254">
        <w:rPr>
          <w:rFonts w:ascii="Calibri" w:hAnsi="Calibri" w:cs="Calibri"/>
          <w:sz w:val="24"/>
          <w:szCs w:val="24"/>
        </w:rPr>
        <w:t>biti dovoljno siguran</w:t>
      </w:r>
      <w:r>
        <w:rPr>
          <w:rFonts w:ascii="Calibri" w:hAnsi="Calibri" w:cs="Calibri"/>
          <w:sz w:val="24"/>
          <w:szCs w:val="24"/>
        </w:rPr>
        <w:t xml:space="preserve"> </w:t>
      </w:r>
      <w:r w:rsidR="00BB5254">
        <w:rPr>
          <w:rFonts w:ascii="Calibri" w:hAnsi="Calibri" w:cs="Calibri"/>
          <w:sz w:val="24"/>
          <w:szCs w:val="24"/>
        </w:rPr>
        <w:t xml:space="preserve">da će moći dati verifikacijsko mišljenje s razumnim </w:t>
      </w:r>
      <w:r w:rsidR="00EB2631">
        <w:rPr>
          <w:rFonts w:ascii="Calibri" w:hAnsi="Calibri" w:cs="Calibri"/>
          <w:sz w:val="24"/>
          <w:szCs w:val="24"/>
        </w:rPr>
        <w:t>jamstvom</w:t>
      </w:r>
      <w:r w:rsidR="00BB5254">
        <w:rPr>
          <w:rFonts w:ascii="Calibri" w:hAnsi="Calibri" w:cs="Calibri"/>
          <w:sz w:val="24"/>
          <w:szCs w:val="24"/>
        </w:rPr>
        <w:t xml:space="preserve"> na temelju podataka kojima je pristupio na daljinu. Također treba biti siguran da su granice postrojenja i ostali važni podaci temeljito provjereni u prvom terenskom obilasku i da se predmetne granice i ostali bitni podaci o konfiguraciji mogu naknadno potvrditi bez obilaska lokacije (npr. prema fotografskim dokazima da nisu dodane jedinice, ili dokazima da nije bilo promjene u brojilima</w:t>
      </w:r>
      <w:r w:rsidR="001D3BFC">
        <w:rPr>
          <w:rFonts w:ascii="Calibri" w:hAnsi="Calibri" w:cs="Calibri"/>
          <w:sz w:val="24"/>
          <w:szCs w:val="24"/>
        </w:rPr>
        <w:t>).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D840D7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Kriteriji koje određuje Komisija</w:t>
      </w:r>
      <w:r w:rsidR="00D666C2">
        <w:rPr>
          <w:rStyle w:val="Referencafusnote"/>
          <w:rFonts w:ascii="Calibri" w:hAnsi="Calibri" w:cs="Calibri"/>
          <w:b/>
          <w:bCs/>
          <w:i/>
          <w:iCs/>
          <w:sz w:val="24"/>
          <w:szCs w:val="24"/>
        </w:rPr>
        <w:footnoteReference w:id="6"/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1D3BFC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32"/>
          <w:szCs w:val="32"/>
          <w:vertAlign w:val="superscript"/>
        </w:rPr>
        <w:t xml:space="preserve"> </w:t>
      </w:r>
    </w:p>
    <w:p w:rsidR="0007038B" w:rsidRDefault="00D840D7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Samo jedan od dolje navedenih kriterija je potreba</w:t>
      </w:r>
      <w:r w:rsidR="00EB2631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 za opravdanje neprovođenja terenskog obilaska pod uvjetom da analiza rizika verifikatora pokazuje da je takvo odustajanje primjereno i da su ispunjeni ostali potrebni uvjeti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 w:cs="Times New Roman"/>
          <w:sz w:val="24"/>
          <w:szCs w:val="24"/>
        </w:rPr>
      </w:pPr>
    </w:p>
    <w:p w:rsidR="0007038B" w:rsidRPr="00D840D7" w:rsidRDefault="001D3BFC" w:rsidP="00D840D7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I.  </w:t>
      </w:r>
      <w:r w:rsidR="00D840D7">
        <w:rPr>
          <w:rFonts w:ascii="Calibri" w:hAnsi="Calibri" w:cs="Calibri"/>
          <w:i/>
          <w:iCs/>
          <w:sz w:val="24"/>
          <w:szCs w:val="24"/>
        </w:rPr>
        <w:t>Verifikacija se odnosi na postrojenje u kategoriji A</w:t>
      </w:r>
      <w:r w:rsidR="00D840D7">
        <w:rPr>
          <w:rStyle w:val="Referencafusnote"/>
          <w:rFonts w:ascii="Calibri" w:hAnsi="Calibri" w:cs="Calibri"/>
          <w:i/>
          <w:iCs/>
          <w:sz w:val="24"/>
          <w:szCs w:val="24"/>
        </w:rPr>
        <w:footnoteReference w:id="7"/>
      </w:r>
      <w:r w:rsidR="00D840D7">
        <w:rPr>
          <w:rFonts w:ascii="Calibri" w:hAnsi="Calibri" w:cs="Calibri"/>
          <w:i/>
          <w:iCs/>
          <w:sz w:val="24"/>
          <w:szCs w:val="24"/>
        </w:rPr>
        <w:t xml:space="preserve"> ili postrojenje u kategoriji B</w:t>
      </w:r>
      <w:r w:rsidR="00D840D7">
        <w:rPr>
          <w:rStyle w:val="Referencafusnote"/>
          <w:rFonts w:ascii="Calibri" w:hAnsi="Calibri" w:cs="Calibri"/>
          <w:i/>
          <w:iCs/>
          <w:sz w:val="24"/>
          <w:szCs w:val="24"/>
        </w:rPr>
        <w:footnoteReference w:id="8"/>
      </w:r>
      <w:r w:rsidR="00D840D7">
        <w:rPr>
          <w:rFonts w:ascii="Calibri" w:hAnsi="Calibri" w:cs="Calibri"/>
          <w:i/>
          <w:iCs/>
          <w:sz w:val="24"/>
          <w:szCs w:val="24"/>
        </w:rPr>
        <w:t xml:space="preserve">: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840D7">
        <w:rPr>
          <w:rFonts w:ascii="Calibri" w:hAnsi="Calibri" w:cs="Calibri"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D840D7"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:rsidR="0007038B" w:rsidRDefault="00D840D7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lastRenderedPageBreak/>
        <w:t xml:space="preserve"> </w:t>
      </w:r>
      <w:r w:rsidRPr="00D840D7">
        <w:rPr>
          <w:rFonts w:ascii="Calibri" w:hAnsi="Calibri" w:cs="Calibri"/>
          <w:sz w:val="19"/>
          <w:szCs w:val="19"/>
        </w:rPr>
        <w:t xml:space="preserve"> </w:t>
      </w:r>
      <w:bookmarkStart w:id="5" w:name="page6"/>
      <w:bookmarkEnd w:id="5"/>
      <w:r w:rsidR="00BB5254">
        <w:rPr>
          <w:rFonts w:ascii="Calibri" w:hAnsi="Calibri" w:cs="Calibri"/>
          <w:sz w:val="19"/>
          <w:szCs w:val="19"/>
        </w:rPr>
        <w:t xml:space="preserve"> </w:t>
      </w: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9"/>
          <w:szCs w:val="19"/>
        </w:rPr>
      </w:pPr>
    </w:p>
    <w:p w:rsidR="003B1E98" w:rsidRPr="00BB5254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38B" w:rsidRPr="00BB5254" w:rsidRDefault="00BB5254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koje ima jedan tok izvora koji koristi prirodni plin i/ili jedan </w:t>
      </w:r>
      <w:r w:rsidR="001D3BFC" w:rsidRPr="00BB5254">
        <w:rPr>
          <w:rFonts w:ascii="Calibri" w:hAnsi="Calibri" w:cs="Calibri"/>
          <w:i/>
          <w:sz w:val="24"/>
          <w:szCs w:val="24"/>
        </w:rPr>
        <w:t>de</w:t>
      </w:r>
      <w:r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1D3BFC" w:rsidRPr="00BB5254">
        <w:rPr>
          <w:rFonts w:ascii="Calibri" w:hAnsi="Calibri" w:cs="Calibri"/>
          <w:i/>
          <w:sz w:val="24"/>
          <w:szCs w:val="24"/>
        </w:rPr>
        <w:t>minimis</w:t>
      </w:r>
      <w:proofErr w:type="spellEnd"/>
      <w:r w:rsidR="001D3BFC" w:rsidRPr="00BB525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tok izvora (npr. rezervno gorivo)</w:t>
      </w:r>
      <w:r w:rsidR="001D3BFC" w:rsidRPr="00BB5254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1D3BFC" w:rsidRPr="00BB5254"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EB2631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u kojemu</w:t>
      </w:r>
      <w:r w:rsidR="000711E5">
        <w:rPr>
          <w:rFonts w:ascii="Calibri" w:hAnsi="Calibri" w:cs="Calibri"/>
          <w:sz w:val="24"/>
          <w:szCs w:val="24"/>
        </w:rPr>
        <w:t xml:space="preserve"> se aktivnosti praćenja </w:t>
      </w:r>
      <w:r w:rsidR="003E2417">
        <w:rPr>
          <w:rFonts w:ascii="Calibri" w:hAnsi="Calibri" w:cs="Calibri"/>
          <w:sz w:val="24"/>
          <w:szCs w:val="24"/>
        </w:rPr>
        <w:t>podataka</w:t>
      </w:r>
      <w:r w:rsidR="000711E5">
        <w:rPr>
          <w:rFonts w:ascii="Calibri" w:hAnsi="Calibri" w:cs="Calibri"/>
          <w:sz w:val="24"/>
          <w:szCs w:val="24"/>
        </w:rPr>
        <w:t xml:space="preserve"> temelje na fiskalnom mjerenju koje obavlja dobavljač plina</w:t>
      </w:r>
      <w:r w:rsidR="0037380E">
        <w:rPr>
          <w:rStyle w:val="Referencafusnote"/>
          <w:rFonts w:ascii="Calibri" w:hAnsi="Calibri" w:cs="Calibri"/>
          <w:sz w:val="24"/>
          <w:szCs w:val="24"/>
        </w:rPr>
        <w:footnoteReference w:id="9"/>
      </w:r>
      <w:r w:rsidR="000711E5">
        <w:rPr>
          <w:rFonts w:ascii="Calibri" w:hAnsi="Calibri" w:cs="Calibri"/>
          <w:sz w:val="24"/>
          <w:szCs w:val="24"/>
        </w:rPr>
        <w:t xml:space="preserve">; </w:t>
      </w:r>
      <w:r w:rsidR="000711E5">
        <w:rPr>
          <w:rFonts w:ascii="Calibri" w:hAnsi="Calibri" w:cs="Calibri"/>
          <w:b/>
          <w:bCs/>
          <w:sz w:val="24"/>
          <w:szCs w:val="24"/>
        </w:rPr>
        <w:t>i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7038B" w:rsidRDefault="00EB2631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u kojemu</w:t>
      </w:r>
      <w:r w:rsidR="000711E5">
        <w:rPr>
          <w:rFonts w:ascii="Calibri" w:hAnsi="Calibri" w:cs="Calibri"/>
          <w:sz w:val="24"/>
          <w:szCs w:val="24"/>
        </w:rPr>
        <w:t xml:space="preserve"> se primjenjuje zadana vrijednost emisijskog faktora</w:t>
      </w:r>
      <w:r w:rsidR="000711E5">
        <w:rPr>
          <w:rStyle w:val="Referencafusnote"/>
          <w:rFonts w:ascii="Calibri" w:hAnsi="Calibri" w:cs="Calibri"/>
          <w:sz w:val="24"/>
          <w:szCs w:val="24"/>
        </w:rPr>
        <w:footnoteReference w:id="10"/>
      </w:r>
      <w:r w:rsidR="001D3BFC">
        <w:rPr>
          <w:rFonts w:ascii="Calibri" w:hAnsi="Calibri" w:cs="Calibri"/>
          <w:sz w:val="24"/>
          <w:szCs w:val="24"/>
        </w:rPr>
        <w:t xml:space="preserve">.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40"/>
          <w:szCs w:val="40"/>
          <w:vertAlign w:val="superscript"/>
        </w:rPr>
      </w:pPr>
    </w:p>
    <w:p w:rsidR="0007038B" w:rsidRDefault="00377110" w:rsidP="003765FB">
      <w:pPr>
        <w:widowControl w:val="0"/>
        <w:numPr>
          <w:ilvl w:val="0"/>
          <w:numId w:val="10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Primjenjuje se sljedeća situacija</w:t>
      </w:r>
      <w:r w:rsidR="001D3BFC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:rsidR="0007038B" w:rsidRDefault="007009DD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v</w:t>
      </w:r>
      <w:r w:rsidR="003A1DCC">
        <w:rPr>
          <w:rFonts w:ascii="Calibri" w:hAnsi="Calibri" w:cs="Calibri"/>
          <w:sz w:val="24"/>
          <w:szCs w:val="24"/>
        </w:rPr>
        <w:t xml:space="preserve">erifikacija se odnosi na postrojenja u kategoriji </w:t>
      </w:r>
      <w:r w:rsidR="001D3BFC">
        <w:rPr>
          <w:rFonts w:ascii="Calibri" w:hAnsi="Calibri" w:cs="Calibri"/>
          <w:sz w:val="24"/>
          <w:szCs w:val="24"/>
        </w:rPr>
        <w:t xml:space="preserve">A </w:t>
      </w:r>
      <w:r w:rsidR="003A1DCC">
        <w:rPr>
          <w:rFonts w:ascii="Calibri" w:hAnsi="Calibri" w:cs="Calibri"/>
          <w:sz w:val="24"/>
          <w:szCs w:val="24"/>
        </w:rPr>
        <w:t xml:space="preserve">ili postrojenja u kategoriji </w:t>
      </w:r>
      <w:r w:rsidR="001D3BFC">
        <w:rPr>
          <w:rFonts w:ascii="Calibri" w:hAnsi="Calibri" w:cs="Calibri"/>
          <w:sz w:val="24"/>
          <w:szCs w:val="24"/>
        </w:rPr>
        <w:t>B</w:t>
      </w:r>
      <w:r w:rsidR="003A1DCC">
        <w:rPr>
          <w:rStyle w:val="Referencafusnote"/>
          <w:rFonts w:ascii="Calibri" w:hAnsi="Calibri" w:cs="Calibri"/>
          <w:sz w:val="24"/>
          <w:szCs w:val="24"/>
        </w:rPr>
        <w:footnoteReference w:id="11"/>
      </w:r>
      <w:r w:rsidR="00D666C2">
        <w:rPr>
          <w:rFonts w:ascii="Calibri" w:hAnsi="Calibri" w:cs="Calibri"/>
          <w:sz w:val="32"/>
          <w:szCs w:val="32"/>
          <w:vertAlign w:val="superscript"/>
        </w:rPr>
        <w:t xml:space="preserve"> </w:t>
      </w:r>
      <w:r w:rsidR="00B44B43">
        <w:rPr>
          <w:rFonts w:ascii="Calibri" w:hAnsi="Calibri" w:cs="Calibri"/>
          <w:sz w:val="24"/>
          <w:szCs w:val="24"/>
        </w:rPr>
        <w:t xml:space="preserve">koja imaju jedan tok izvora koji koristi gorivo bez procesnih emisija, pri čemu gorivo </w:t>
      </w:r>
      <w:r w:rsidR="00EB2631">
        <w:rPr>
          <w:rFonts w:ascii="Calibri" w:hAnsi="Calibri" w:cs="Calibri"/>
          <w:sz w:val="24"/>
          <w:szCs w:val="24"/>
        </w:rPr>
        <w:t>izgara izravno</w:t>
      </w:r>
      <w:r w:rsidR="00B44B43">
        <w:rPr>
          <w:rFonts w:ascii="Calibri" w:hAnsi="Calibri" w:cs="Calibri"/>
          <w:sz w:val="24"/>
          <w:szCs w:val="24"/>
        </w:rPr>
        <w:t xml:space="preserve"> u postrojenju bez </w:t>
      </w:r>
      <w:r w:rsidR="00C96B3A">
        <w:rPr>
          <w:rFonts w:ascii="Calibri" w:hAnsi="Calibri" w:cs="Calibri"/>
          <w:sz w:val="24"/>
          <w:szCs w:val="24"/>
        </w:rPr>
        <w:t>privremenog skladišt</w:t>
      </w:r>
      <w:r w:rsidR="00EB2631">
        <w:rPr>
          <w:rFonts w:ascii="Calibri" w:hAnsi="Calibri" w:cs="Calibri"/>
          <w:sz w:val="24"/>
          <w:szCs w:val="24"/>
        </w:rPr>
        <w:t>enj</w:t>
      </w:r>
      <w:r w:rsidR="00C96B3A">
        <w:rPr>
          <w:rFonts w:ascii="Calibri" w:hAnsi="Calibri" w:cs="Calibri"/>
          <w:sz w:val="24"/>
          <w:szCs w:val="24"/>
        </w:rPr>
        <w:t xml:space="preserve">a </w:t>
      </w:r>
      <w:r w:rsidR="00B44B43">
        <w:rPr>
          <w:rFonts w:ascii="Calibri" w:hAnsi="Calibri" w:cs="Calibri"/>
          <w:sz w:val="24"/>
          <w:szCs w:val="24"/>
        </w:rPr>
        <w:t xml:space="preserve">i uključuje najviše jedan dodatni </w:t>
      </w:r>
      <w:r w:rsidR="001D3BFC" w:rsidRPr="00B44B43">
        <w:rPr>
          <w:rFonts w:ascii="Calibri" w:hAnsi="Calibri" w:cs="Calibri"/>
          <w:i/>
          <w:sz w:val="24"/>
          <w:szCs w:val="24"/>
        </w:rPr>
        <w:t>de</w:t>
      </w:r>
      <w:r w:rsidR="00B44B43">
        <w:rPr>
          <w:rFonts w:ascii="Calibri" w:hAnsi="Calibri" w:cs="Calibri"/>
          <w:i/>
          <w:sz w:val="24"/>
          <w:szCs w:val="24"/>
        </w:rPr>
        <w:t xml:space="preserve"> </w:t>
      </w:r>
      <w:proofErr w:type="spellStart"/>
      <w:r w:rsidR="001D3BFC" w:rsidRPr="00B44B43">
        <w:rPr>
          <w:rFonts w:ascii="Calibri" w:hAnsi="Calibri" w:cs="Calibri"/>
          <w:i/>
          <w:sz w:val="24"/>
          <w:szCs w:val="24"/>
        </w:rPr>
        <w:t>minimis</w:t>
      </w:r>
      <w:proofErr w:type="spellEnd"/>
      <w:r w:rsidR="001D3BFC">
        <w:rPr>
          <w:rFonts w:ascii="Calibri" w:hAnsi="Calibri" w:cs="Calibri"/>
          <w:sz w:val="24"/>
          <w:szCs w:val="24"/>
        </w:rPr>
        <w:t xml:space="preserve"> </w:t>
      </w:r>
      <w:r w:rsidR="00B44B43">
        <w:rPr>
          <w:rFonts w:ascii="Calibri" w:hAnsi="Calibri" w:cs="Calibri"/>
          <w:sz w:val="24"/>
          <w:szCs w:val="24"/>
        </w:rPr>
        <w:t xml:space="preserve">tok izvora </w:t>
      </w:r>
      <w:r w:rsidR="001D3BFC">
        <w:rPr>
          <w:rFonts w:ascii="Calibri" w:hAnsi="Calibri" w:cs="Calibri"/>
          <w:sz w:val="24"/>
          <w:szCs w:val="24"/>
        </w:rPr>
        <w:t>(</w:t>
      </w:r>
      <w:r w:rsidR="00B44B43">
        <w:rPr>
          <w:rFonts w:ascii="Calibri" w:hAnsi="Calibri" w:cs="Calibri"/>
          <w:sz w:val="24"/>
          <w:szCs w:val="24"/>
        </w:rPr>
        <w:t>npr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 w:rsidR="00B44B43">
        <w:rPr>
          <w:rFonts w:ascii="Calibri" w:hAnsi="Calibri" w:cs="Calibri"/>
          <w:sz w:val="24"/>
          <w:szCs w:val="24"/>
        </w:rPr>
        <w:t xml:space="preserve">koji se odnosi na </w:t>
      </w:r>
      <w:r w:rsidR="00B924E5">
        <w:rPr>
          <w:rFonts w:ascii="Calibri" w:hAnsi="Calibri" w:cs="Calibri"/>
          <w:sz w:val="24"/>
          <w:szCs w:val="24"/>
        </w:rPr>
        <w:t>rezervno</w:t>
      </w:r>
      <w:r w:rsidR="00B44B43">
        <w:rPr>
          <w:rFonts w:ascii="Calibri" w:hAnsi="Calibri" w:cs="Calibri"/>
          <w:sz w:val="24"/>
          <w:szCs w:val="24"/>
        </w:rPr>
        <w:t xml:space="preserve"> </w:t>
      </w:r>
      <w:r w:rsidR="00B924E5">
        <w:rPr>
          <w:rFonts w:ascii="Calibri" w:hAnsi="Calibri" w:cs="Calibri"/>
          <w:sz w:val="24"/>
          <w:szCs w:val="24"/>
        </w:rPr>
        <w:t>gorivo</w:t>
      </w:r>
      <w:r w:rsidR="001D3BFC">
        <w:rPr>
          <w:rFonts w:ascii="Calibri" w:hAnsi="Calibri" w:cs="Calibri"/>
          <w:sz w:val="24"/>
          <w:szCs w:val="24"/>
        </w:rPr>
        <w:t xml:space="preserve">); </w:t>
      </w:r>
      <w:r w:rsidR="00B924E5">
        <w:rPr>
          <w:rFonts w:ascii="Calibri" w:hAnsi="Calibri" w:cs="Calibri"/>
          <w:b/>
          <w:bCs/>
          <w:sz w:val="24"/>
          <w:szCs w:val="24"/>
        </w:rPr>
        <w:t>i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7038B" w:rsidRPr="007009DD" w:rsidRDefault="007009DD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p</w:t>
      </w:r>
      <w:r w:rsidR="00B924E5">
        <w:rPr>
          <w:rFonts w:ascii="Calibri" w:hAnsi="Calibri" w:cs="Calibri"/>
          <w:sz w:val="24"/>
          <w:szCs w:val="24"/>
        </w:rPr>
        <w:t xml:space="preserve">odaci o </w:t>
      </w:r>
      <w:r w:rsidR="00B924E5" w:rsidRPr="007009DD">
        <w:rPr>
          <w:rFonts w:ascii="Calibri" w:hAnsi="Calibri" w:cs="Calibri"/>
          <w:sz w:val="24"/>
          <w:szCs w:val="24"/>
        </w:rPr>
        <w:t xml:space="preserve">aktivnostima koji se odnose na tok izvora prate se kroz fiskalno </w:t>
      </w:r>
      <w:r w:rsidR="00C96B3A">
        <w:rPr>
          <w:rFonts w:ascii="Calibri" w:hAnsi="Calibri" w:cs="Calibri"/>
          <w:sz w:val="24"/>
          <w:szCs w:val="24"/>
        </w:rPr>
        <w:t>mjerenje</w:t>
      </w:r>
      <w:r w:rsidR="001D3BFC" w:rsidRPr="007009DD">
        <w:rPr>
          <w:rFonts w:ascii="Calibri" w:hAnsi="Calibri" w:cs="Calibri"/>
          <w:sz w:val="24"/>
          <w:szCs w:val="24"/>
        </w:rPr>
        <w:t xml:space="preserve"> </w:t>
      </w:r>
      <w:r w:rsidR="00B924E5" w:rsidRPr="007009DD">
        <w:rPr>
          <w:rFonts w:ascii="Calibri" w:hAnsi="Calibri" w:cs="Calibri"/>
          <w:sz w:val="24"/>
          <w:szCs w:val="24"/>
        </w:rPr>
        <w:t>ili se podaci o aktivnostima temelje isključivo na podacima u fakturama</w:t>
      </w:r>
      <w:r w:rsidR="00EB2631">
        <w:rPr>
          <w:rFonts w:ascii="Calibri" w:hAnsi="Calibri" w:cs="Calibri"/>
          <w:sz w:val="24"/>
          <w:szCs w:val="24"/>
        </w:rPr>
        <w:t xml:space="preserve">, a kao </w:t>
      </w:r>
      <w:r>
        <w:rPr>
          <w:rFonts w:ascii="Calibri" w:hAnsi="Calibri" w:cs="Calibri"/>
          <w:sz w:val="24"/>
          <w:szCs w:val="24"/>
        </w:rPr>
        <w:t>pro</w:t>
      </w:r>
      <w:r w:rsidRPr="007009DD">
        <w:rPr>
          <w:rFonts w:ascii="Calibri" w:hAnsi="Calibri" w:cs="Calibri"/>
          <w:sz w:val="24"/>
          <w:szCs w:val="24"/>
        </w:rPr>
        <w:t>računsk</w:t>
      </w:r>
      <w:r w:rsidR="00EB2631">
        <w:rPr>
          <w:rFonts w:ascii="Calibri" w:hAnsi="Calibri" w:cs="Calibri"/>
          <w:sz w:val="24"/>
          <w:szCs w:val="24"/>
        </w:rPr>
        <w:t>i</w:t>
      </w:r>
      <w:r w:rsidR="00B924E5" w:rsidRPr="007009DD">
        <w:rPr>
          <w:rFonts w:ascii="Calibri" w:hAnsi="Calibri" w:cs="Calibri"/>
          <w:sz w:val="24"/>
          <w:szCs w:val="24"/>
        </w:rPr>
        <w:t xml:space="preserve"> faktor koristi se zadana vrijednosti</w:t>
      </w:r>
      <w:r w:rsidR="001D3BFC" w:rsidRPr="007009DD">
        <w:rPr>
          <w:rFonts w:ascii="Calibri" w:hAnsi="Calibri" w:cs="Calibri"/>
          <w:sz w:val="24"/>
          <w:szCs w:val="24"/>
        </w:rPr>
        <w:t xml:space="preserve">; </w:t>
      </w:r>
      <w:r w:rsidRPr="007009DD">
        <w:rPr>
          <w:rFonts w:ascii="Calibri" w:hAnsi="Calibri" w:cs="Calibri"/>
          <w:b/>
          <w:bCs/>
          <w:sz w:val="24"/>
          <w:szCs w:val="24"/>
        </w:rPr>
        <w:t>i</w:t>
      </w:r>
      <w:r w:rsidR="001D3BFC" w:rsidRPr="007009DD">
        <w:rPr>
          <w:rFonts w:ascii="Calibri" w:hAnsi="Calibri" w:cs="Calibri"/>
          <w:sz w:val="24"/>
          <w:szCs w:val="24"/>
        </w:rPr>
        <w:t xml:space="preserve"> </w:t>
      </w:r>
    </w:p>
    <w:p w:rsidR="0007038B" w:rsidRPr="007009DD" w:rsidRDefault="007009DD" w:rsidP="003765FB">
      <w:pPr>
        <w:widowControl w:val="0"/>
        <w:numPr>
          <w:ilvl w:val="1"/>
          <w:numId w:val="10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 w:rsidRPr="007009DD">
        <w:rPr>
          <w:rFonts w:ascii="Calibri" w:hAnsi="Calibri" w:cs="Calibri"/>
          <w:sz w:val="24"/>
          <w:szCs w:val="24"/>
        </w:rPr>
        <w:t>NT je dozvolio postrojenju korištenje pojednostavljenog plana praćenja</w:t>
      </w:r>
      <w:r>
        <w:rPr>
          <w:rFonts w:ascii="Calibri" w:hAnsi="Calibri" w:cs="Calibri"/>
          <w:sz w:val="24"/>
          <w:szCs w:val="24"/>
        </w:rPr>
        <w:t xml:space="preserve"> u skladu s </w:t>
      </w:r>
      <w:r w:rsidRPr="007009DD">
        <w:rPr>
          <w:rFonts w:ascii="Calibri" w:hAnsi="Calibri" w:cs="Calibri"/>
          <w:sz w:val="24"/>
          <w:szCs w:val="24"/>
        </w:rPr>
        <w:t xml:space="preserve"> </w:t>
      </w:r>
      <w:r w:rsidR="001D3BFC" w:rsidRPr="007009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člankom 13</w:t>
      </w:r>
      <w:r w:rsidR="00EB263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UPI-ja</w:t>
      </w:r>
      <w:r w:rsidR="001D3BFC" w:rsidRPr="007009DD">
        <w:rPr>
          <w:rFonts w:ascii="Calibri" w:hAnsi="Calibri" w:cs="Calibri"/>
          <w:sz w:val="24"/>
          <w:szCs w:val="24"/>
        </w:rPr>
        <w:t xml:space="preserve">. </w:t>
      </w:r>
    </w:p>
    <w:p w:rsidR="0007038B" w:rsidRPr="007009DD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Pr="00EB2631" w:rsidRDefault="007009DD" w:rsidP="003765FB">
      <w:pPr>
        <w:widowControl w:val="0"/>
        <w:numPr>
          <w:ilvl w:val="0"/>
          <w:numId w:val="1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i/>
          <w:iCs/>
          <w:sz w:val="24"/>
          <w:szCs w:val="24"/>
        </w:rPr>
      </w:pPr>
      <w:r w:rsidRPr="007009DD">
        <w:rPr>
          <w:rFonts w:ascii="Calibri" w:hAnsi="Calibri" w:cs="Calibri"/>
          <w:i/>
          <w:iCs/>
          <w:sz w:val="24"/>
          <w:szCs w:val="24"/>
        </w:rPr>
        <w:t>Primjenjuje se sljedeća situacija</w:t>
      </w:r>
      <w:r w:rsidR="001D3BFC">
        <w:rPr>
          <w:rFonts w:ascii="Calibri" w:hAnsi="Calibri" w:cs="Calibri"/>
          <w:i/>
          <w:iCs/>
          <w:sz w:val="24"/>
          <w:szCs w:val="24"/>
        </w:rPr>
        <w:t xml:space="preserve">: </w:t>
      </w:r>
    </w:p>
    <w:p w:rsidR="0007038B" w:rsidRDefault="007009DD" w:rsidP="003765FB">
      <w:pPr>
        <w:widowControl w:val="0"/>
        <w:numPr>
          <w:ilvl w:val="1"/>
          <w:numId w:val="1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lokacij</w:t>
      </w:r>
      <w:r w:rsidR="00EB2631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 xml:space="preserve"> </w:t>
      </w:r>
      <w:r w:rsidR="00EB2631">
        <w:rPr>
          <w:rFonts w:ascii="Calibri" w:hAnsi="Calibri" w:cs="Calibri"/>
          <w:sz w:val="24"/>
          <w:szCs w:val="24"/>
        </w:rPr>
        <w:t>bez</w:t>
      </w:r>
      <w:r>
        <w:rPr>
          <w:rFonts w:ascii="Calibri" w:hAnsi="Calibri" w:cs="Calibri"/>
          <w:sz w:val="24"/>
          <w:szCs w:val="24"/>
        </w:rPr>
        <w:t xml:space="preserve"> radnika s telemetrijskim podacima koji se izravno šalju na drugu lokaciju </w:t>
      </w:r>
      <w:r w:rsidR="00EB2631">
        <w:rPr>
          <w:rFonts w:ascii="Calibri" w:hAnsi="Calibri" w:cs="Calibri"/>
          <w:sz w:val="24"/>
          <w:szCs w:val="24"/>
        </w:rPr>
        <w:t>gdje</w:t>
      </w:r>
      <w:r>
        <w:rPr>
          <w:rFonts w:ascii="Calibri" w:hAnsi="Calibri" w:cs="Calibri"/>
          <w:sz w:val="24"/>
          <w:szCs w:val="24"/>
        </w:rPr>
        <w:t xml:space="preserve"> se podaci </w:t>
      </w:r>
      <w:r w:rsidR="00EB2631">
        <w:rPr>
          <w:rFonts w:ascii="Calibri" w:hAnsi="Calibri" w:cs="Calibri"/>
          <w:sz w:val="24"/>
          <w:szCs w:val="24"/>
        </w:rPr>
        <w:t xml:space="preserve">prikupljaju, </w:t>
      </w:r>
      <w:r>
        <w:rPr>
          <w:rFonts w:ascii="Calibri" w:hAnsi="Calibri" w:cs="Calibri"/>
          <w:sz w:val="24"/>
          <w:szCs w:val="24"/>
        </w:rPr>
        <w:t>obrađuju, upravljaju i čuvaju; a ista je osoba odgovorna za upravljanje podacima i bilježenje podataka za lokaciju</w:t>
      </w:r>
      <w:r w:rsidR="001D3BFC">
        <w:rPr>
          <w:rFonts w:ascii="Calibri" w:hAnsi="Calibri" w:cs="Calibri"/>
          <w:sz w:val="24"/>
          <w:szCs w:val="24"/>
        </w:rPr>
        <w:t xml:space="preserve">; </w:t>
      </w:r>
      <w:r>
        <w:rPr>
          <w:rFonts w:ascii="Calibri" w:hAnsi="Calibri" w:cs="Calibri"/>
          <w:b/>
          <w:bCs/>
          <w:sz w:val="24"/>
          <w:szCs w:val="24"/>
        </w:rPr>
        <w:t>i</w:t>
      </w:r>
      <w:r w:rsidR="001D3BFC"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EB2631" w:rsidP="003765FB">
      <w:pPr>
        <w:widowControl w:val="0"/>
        <w:numPr>
          <w:ilvl w:val="1"/>
          <w:numId w:val="11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>brojila</w:t>
      </w:r>
      <w:r w:rsidR="007009D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</w:t>
      </w:r>
      <w:r w:rsidR="007009DD">
        <w:rPr>
          <w:rFonts w:ascii="Calibri" w:hAnsi="Calibri" w:cs="Calibri"/>
          <w:sz w:val="24"/>
          <w:szCs w:val="24"/>
        </w:rPr>
        <w:t xml:space="preserve"> već na licu mjesta pregledao operater ili laboratorij u skladu s </w:t>
      </w:r>
      <w:r w:rsidR="000A3855">
        <w:rPr>
          <w:rFonts w:ascii="Calibri" w:hAnsi="Calibri" w:cs="Calibri"/>
          <w:sz w:val="24"/>
          <w:szCs w:val="24"/>
        </w:rPr>
        <w:t xml:space="preserve">člankom 59. UPI-ja, a </w:t>
      </w:r>
      <w:r w:rsidR="00806480">
        <w:rPr>
          <w:rFonts w:ascii="Calibri" w:hAnsi="Calibri" w:cs="Calibri"/>
          <w:sz w:val="24"/>
          <w:szCs w:val="24"/>
        </w:rPr>
        <w:t xml:space="preserve">operater </w:t>
      </w:r>
      <w:r w:rsidR="000A3855">
        <w:rPr>
          <w:rFonts w:ascii="Calibri" w:hAnsi="Calibri" w:cs="Calibri"/>
          <w:sz w:val="24"/>
          <w:szCs w:val="24"/>
        </w:rPr>
        <w:t>potpisani</w:t>
      </w:r>
      <w:r w:rsidR="00806480">
        <w:rPr>
          <w:rFonts w:ascii="Calibri" w:hAnsi="Calibri" w:cs="Calibri"/>
          <w:sz w:val="24"/>
          <w:szCs w:val="24"/>
        </w:rPr>
        <w:t>m</w:t>
      </w:r>
      <w:r w:rsidR="000A3855">
        <w:rPr>
          <w:rFonts w:ascii="Calibri" w:hAnsi="Calibri" w:cs="Calibri"/>
          <w:sz w:val="24"/>
          <w:szCs w:val="24"/>
        </w:rPr>
        <w:t xml:space="preserve"> dokument</w:t>
      </w:r>
      <w:r w:rsidR="00806480">
        <w:rPr>
          <w:rFonts w:ascii="Calibri" w:hAnsi="Calibri" w:cs="Calibri"/>
          <w:sz w:val="24"/>
          <w:szCs w:val="24"/>
        </w:rPr>
        <w:t>om</w:t>
      </w:r>
      <w:r w:rsidR="000A3855">
        <w:rPr>
          <w:rFonts w:ascii="Calibri" w:hAnsi="Calibri" w:cs="Calibri"/>
          <w:sz w:val="24"/>
          <w:szCs w:val="24"/>
        </w:rPr>
        <w:t xml:space="preserve"> ili </w:t>
      </w:r>
      <w:r w:rsidR="00806480">
        <w:rPr>
          <w:rFonts w:ascii="Calibri" w:hAnsi="Calibri" w:cs="Calibri"/>
          <w:sz w:val="24"/>
          <w:szCs w:val="24"/>
        </w:rPr>
        <w:t>fotografijom</w:t>
      </w:r>
      <w:r w:rsidR="000A3855">
        <w:rPr>
          <w:rFonts w:ascii="Calibri" w:hAnsi="Calibri" w:cs="Calibri"/>
          <w:sz w:val="24"/>
          <w:szCs w:val="24"/>
        </w:rPr>
        <w:t xml:space="preserve"> s vremenskim žigom dokazuje da od inspekcijskog nadzora nije bilo promjena u mjerenju ili operativnih promjena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1D3BFC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IV. </w:t>
      </w:r>
      <w:r w:rsidR="00B44B43">
        <w:rPr>
          <w:rFonts w:ascii="Calibri" w:hAnsi="Calibri" w:cs="Calibri"/>
          <w:i/>
          <w:iCs/>
          <w:sz w:val="24"/>
          <w:szCs w:val="24"/>
        </w:rPr>
        <w:t>Primjenjuje se sljedeća situacija</w:t>
      </w:r>
      <w:r>
        <w:rPr>
          <w:rFonts w:ascii="Calibri" w:hAnsi="Calibri" w:cs="Calibri"/>
          <w:i/>
          <w:iCs/>
          <w:sz w:val="24"/>
          <w:szCs w:val="24"/>
        </w:rPr>
        <w:t>:</w:t>
      </w:r>
    </w:p>
    <w:p w:rsidR="0007038B" w:rsidRPr="003B1E98" w:rsidRDefault="007009DD" w:rsidP="003765FB">
      <w:pPr>
        <w:widowControl w:val="0"/>
        <w:numPr>
          <w:ilvl w:val="0"/>
          <w:numId w:val="12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ascii="Calibri" w:hAnsi="Calibri" w:cs="Calibri"/>
          <w:sz w:val="26"/>
          <w:szCs w:val="26"/>
          <w:vertAlign w:val="superscript"/>
        </w:rPr>
      </w:pPr>
      <w:r w:rsidRPr="003B1E98">
        <w:rPr>
          <w:rFonts w:ascii="Calibri" w:hAnsi="Calibri" w:cs="Calibri"/>
          <w:sz w:val="24"/>
          <w:szCs w:val="24"/>
        </w:rPr>
        <w:t>lokacij</w:t>
      </w:r>
      <w:r w:rsidR="00806480">
        <w:rPr>
          <w:rFonts w:ascii="Calibri" w:hAnsi="Calibri" w:cs="Calibri"/>
          <w:sz w:val="24"/>
          <w:szCs w:val="24"/>
        </w:rPr>
        <w:t>a</w:t>
      </w:r>
      <w:r w:rsidRPr="003B1E98">
        <w:rPr>
          <w:rFonts w:ascii="Calibri" w:hAnsi="Calibri" w:cs="Calibri"/>
          <w:sz w:val="24"/>
          <w:szCs w:val="24"/>
        </w:rPr>
        <w:t xml:space="preserve"> je na udaljenom ili nepristupačnom mjestu</w:t>
      </w:r>
      <w:r>
        <w:rPr>
          <w:rStyle w:val="Referencafusnote"/>
          <w:rFonts w:ascii="Calibri" w:hAnsi="Calibri" w:cs="Calibri"/>
          <w:sz w:val="24"/>
          <w:szCs w:val="24"/>
        </w:rPr>
        <w:footnoteReference w:id="12"/>
      </w:r>
      <w:r w:rsidR="001D3BFC" w:rsidRPr="003B1E98">
        <w:rPr>
          <w:rFonts w:ascii="Calibri" w:hAnsi="Calibri" w:cs="Calibri"/>
          <w:sz w:val="24"/>
          <w:szCs w:val="24"/>
        </w:rPr>
        <w:t xml:space="preserve">, </w:t>
      </w:r>
      <w:r w:rsidR="00806480">
        <w:rPr>
          <w:rFonts w:ascii="Calibri" w:hAnsi="Calibri" w:cs="Calibri"/>
          <w:sz w:val="24"/>
          <w:szCs w:val="24"/>
        </w:rPr>
        <w:t>a pritom</w:t>
      </w:r>
      <w:r w:rsidRPr="003B1E98">
        <w:rPr>
          <w:rFonts w:ascii="Calibri" w:hAnsi="Calibri" w:cs="Calibri"/>
          <w:sz w:val="24"/>
          <w:szCs w:val="24"/>
        </w:rPr>
        <w:t xml:space="preserve"> postoji visoka razina centraliziranosti podataka koji su prikupljeni na toj lokaciji i prenose se izravno na drugu lokaciju na kojoj se svi ovi podaci obrađuju, upravljaju i čuvaju s </w:t>
      </w:r>
      <w:r w:rsidR="000A3855" w:rsidRPr="003B1E98">
        <w:rPr>
          <w:rFonts w:ascii="Calibri" w:hAnsi="Calibri" w:cs="Calibri"/>
          <w:sz w:val="24"/>
          <w:szCs w:val="24"/>
        </w:rPr>
        <w:t>dobrim</w:t>
      </w:r>
      <w:r w:rsidRPr="003B1E98">
        <w:rPr>
          <w:rFonts w:ascii="Calibri" w:hAnsi="Calibri" w:cs="Calibri"/>
          <w:sz w:val="24"/>
          <w:szCs w:val="24"/>
        </w:rPr>
        <w:t xml:space="preserve"> osiguranjem kvalitete</w:t>
      </w:r>
      <w:r w:rsidR="001D3BFC" w:rsidRPr="003B1E98">
        <w:rPr>
          <w:rFonts w:ascii="Calibri" w:hAnsi="Calibri" w:cs="Calibri"/>
          <w:sz w:val="24"/>
          <w:szCs w:val="24"/>
        </w:rPr>
        <w:t xml:space="preserve">; </w:t>
      </w:r>
      <w:r w:rsidRPr="003B1E98">
        <w:rPr>
          <w:rFonts w:ascii="Calibri" w:hAnsi="Calibri" w:cs="Calibri"/>
          <w:b/>
          <w:bCs/>
          <w:sz w:val="24"/>
          <w:szCs w:val="24"/>
        </w:rPr>
        <w:t>i</w:t>
      </w:r>
      <w:r w:rsidR="001D3BFC" w:rsidRPr="003B1E98">
        <w:rPr>
          <w:rFonts w:ascii="Calibri" w:hAnsi="Calibri" w:cs="Calibri"/>
          <w:sz w:val="24"/>
          <w:szCs w:val="24"/>
        </w:rPr>
        <w:t xml:space="preserve"> </w:t>
      </w:r>
      <w:r w:rsidR="00D666C2" w:rsidRPr="003B1E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9DD" w:rsidRPr="003B1E98" w:rsidRDefault="003765FB" w:rsidP="003B1E98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 w:rsidRPr="003B1E98">
        <w:rPr>
          <w:rFonts w:ascii="Calibri" w:hAnsi="Calibri" w:cs="Calibri"/>
          <w:sz w:val="24"/>
          <w:szCs w:val="24"/>
        </w:rPr>
        <w:t xml:space="preserve">operater ili laboratorij već </w:t>
      </w:r>
      <w:r w:rsidR="00806480" w:rsidRPr="003B1E98">
        <w:rPr>
          <w:rFonts w:ascii="Calibri" w:hAnsi="Calibri" w:cs="Calibri"/>
          <w:sz w:val="24"/>
          <w:szCs w:val="24"/>
        </w:rPr>
        <w:t xml:space="preserve">je </w:t>
      </w:r>
      <w:r w:rsidRPr="003B1E98">
        <w:rPr>
          <w:rFonts w:ascii="Calibri" w:hAnsi="Calibri" w:cs="Calibri"/>
          <w:sz w:val="24"/>
          <w:szCs w:val="24"/>
        </w:rPr>
        <w:t xml:space="preserve">pregledao </w:t>
      </w:r>
      <w:r w:rsidR="00806480">
        <w:rPr>
          <w:rFonts w:ascii="Calibri" w:hAnsi="Calibri" w:cs="Calibri"/>
          <w:sz w:val="24"/>
          <w:szCs w:val="24"/>
        </w:rPr>
        <w:t>brojila</w:t>
      </w:r>
      <w:r w:rsidR="000A3855" w:rsidRPr="003B1E98">
        <w:rPr>
          <w:rFonts w:ascii="Calibri" w:hAnsi="Calibri" w:cs="Calibri"/>
          <w:sz w:val="24"/>
          <w:szCs w:val="24"/>
        </w:rPr>
        <w:t xml:space="preserve"> na terenu </w:t>
      </w:r>
      <w:r w:rsidRPr="003B1E98">
        <w:rPr>
          <w:rFonts w:ascii="Calibri" w:hAnsi="Calibri" w:cs="Calibri"/>
          <w:sz w:val="24"/>
          <w:szCs w:val="24"/>
        </w:rPr>
        <w:t xml:space="preserve">u skladu s člankom </w:t>
      </w:r>
      <w:r w:rsidR="007009DD" w:rsidRPr="003B1E98">
        <w:rPr>
          <w:rFonts w:ascii="Calibri" w:hAnsi="Calibri" w:cs="Calibri"/>
          <w:sz w:val="24"/>
          <w:szCs w:val="24"/>
        </w:rPr>
        <w:t>59</w:t>
      </w:r>
      <w:r w:rsidRPr="003B1E98">
        <w:rPr>
          <w:rFonts w:ascii="Calibri" w:hAnsi="Calibri" w:cs="Calibri"/>
          <w:sz w:val="24"/>
          <w:szCs w:val="24"/>
        </w:rPr>
        <w:t>.</w:t>
      </w:r>
      <w:r w:rsidR="007009DD" w:rsidRPr="003B1E98">
        <w:rPr>
          <w:rFonts w:ascii="Calibri" w:hAnsi="Calibri" w:cs="Calibri"/>
          <w:sz w:val="24"/>
          <w:szCs w:val="24"/>
        </w:rPr>
        <w:t xml:space="preserve"> </w:t>
      </w:r>
      <w:r w:rsidRPr="003B1E98">
        <w:rPr>
          <w:rFonts w:ascii="Calibri" w:hAnsi="Calibri" w:cs="Calibri"/>
          <w:sz w:val="24"/>
          <w:szCs w:val="24"/>
        </w:rPr>
        <w:t xml:space="preserve">UPI-ja, </w:t>
      </w:r>
      <w:r w:rsidR="007009DD" w:rsidRPr="003B1E98">
        <w:rPr>
          <w:rFonts w:ascii="Calibri" w:hAnsi="Calibri" w:cs="Calibri"/>
          <w:sz w:val="24"/>
          <w:szCs w:val="24"/>
        </w:rPr>
        <w:t xml:space="preserve"> </w:t>
      </w:r>
      <w:r w:rsidR="00806480" w:rsidRPr="00806480">
        <w:rPr>
          <w:rFonts w:ascii="Calibri" w:hAnsi="Calibri" w:cs="Calibri"/>
          <w:sz w:val="24"/>
          <w:szCs w:val="24"/>
        </w:rPr>
        <w:t>a operater potpisanim dokumentom ili fotografijom s vremenskim žigom dokazuje da od inspekcijskog nadzora nije bilo promjena u mjerenju ili operativnih promjena</w:t>
      </w:r>
      <w:r w:rsidR="007009DD" w:rsidRPr="003B1E98">
        <w:rPr>
          <w:rFonts w:ascii="Calibri" w:hAnsi="Calibri" w:cs="Calibri"/>
          <w:sz w:val="24"/>
          <w:szCs w:val="24"/>
        </w:rPr>
        <w:t xml:space="preserve">.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  <w:bookmarkStart w:id="6" w:name="page7"/>
      <w:bookmarkEnd w:id="6"/>
    </w:p>
    <w:p w:rsidR="0007038B" w:rsidRDefault="0007038B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06480" w:rsidRDefault="00806480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06480" w:rsidRDefault="00806480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06480" w:rsidRDefault="00806480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06480" w:rsidRDefault="00806480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806480" w:rsidRDefault="00806480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3B1E98" w:rsidRDefault="003B1E98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07038B" w:rsidRDefault="003765F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Napomena</w:t>
      </w:r>
      <w:r w:rsidR="001D3BFC">
        <w:rPr>
          <w:rFonts w:ascii="Calibri" w:hAnsi="Calibri" w:cs="Calibri"/>
          <w:b/>
          <w:bCs/>
          <w:sz w:val="24"/>
          <w:szCs w:val="24"/>
        </w:rPr>
        <w:t>:</w:t>
      </w:r>
    </w:p>
    <w:p w:rsidR="0007038B" w:rsidRDefault="003765FB" w:rsidP="0080648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Kada operater koristi fiskalno mjerenje (kriteriji I i II), verifikatoru </w:t>
      </w:r>
      <w:r w:rsidR="00806480">
        <w:rPr>
          <w:rFonts w:ascii="Calibri" w:hAnsi="Calibri" w:cs="Calibri"/>
          <w:sz w:val="24"/>
          <w:szCs w:val="24"/>
        </w:rPr>
        <w:t xml:space="preserve">mora dokazati </w:t>
      </w:r>
      <w:r>
        <w:rPr>
          <w:rFonts w:ascii="Calibri" w:hAnsi="Calibri" w:cs="Calibri"/>
          <w:sz w:val="24"/>
          <w:szCs w:val="24"/>
        </w:rPr>
        <w:t>sljedeće</w:t>
      </w:r>
      <w:r w:rsidR="001D3BFC">
        <w:rPr>
          <w:rFonts w:ascii="Calibri" w:hAnsi="Calibri" w:cs="Calibri"/>
          <w:sz w:val="24"/>
          <w:szCs w:val="24"/>
        </w:rPr>
        <w:t>:</w:t>
      </w:r>
    </w:p>
    <w:p w:rsidR="0007038B" w:rsidRDefault="00806480" w:rsidP="003765FB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da je </w:t>
      </w:r>
      <w:r w:rsidR="003765FB">
        <w:rPr>
          <w:rFonts w:ascii="Calibri" w:hAnsi="Calibri" w:cs="Calibri"/>
          <w:sz w:val="24"/>
          <w:szCs w:val="24"/>
        </w:rPr>
        <w:t xml:space="preserve">uspostavljen primjeren regulatorni sustav i sustav baždarenja za fiskalna mjerila i </w:t>
      </w:r>
      <w:r>
        <w:rPr>
          <w:rFonts w:ascii="Calibri" w:hAnsi="Calibri" w:cs="Calibri"/>
          <w:sz w:val="24"/>
          <w:szCs w:val="24"/>
        </w:rPr>
        <w:t>zahtijevana</w:t>
      </w:r>
      <w:r w:rsidR="003765FB">
        <w:rPr>
          <w:rFonts w:ascii="Calibri" w:hAnsi="Calibri" w:cs="Calibri"/>
          <w:sz w:val="24"/>
          <w:szCs w:val="24"/>
        </w:rPr>
        <w:t xml:space="preserve"> nesigurnost tog sustava ispunjavaju prema UPI-ju nesigurnost za razinu koja se primjenjuje</w:t>
      </w:r>
      <w:r w:rsidR="001D3BFC">
        <w:rPr>
          <w:rFonts w:ascii="Calibri" w:hAnsi="Calibri" w:cs="Calibri"/>
          <w:sz w:val="24"/>
          <w:szCs w:val="24"/>
        </w:rPr>
        <w:t xml:space="preserve">. </w:t>
      </w:r>
      <w:r w:rsidR="003765FB">
        <w:rPr>
          <w:rFonts w:ascii="Calibri" w:hAnsi="Calibri" w:cs="Calibri"/>
          <w:sz w:val="24"/>
          <w:szCs w:val="24"/>
        </w:rPr>
        <w:t>Ako instrument podliježe zakonskom mjeriteljskom nadzoru</w:t>
      </w:r>
      <w:r w:rsidR="001D3BFC">
        <w:rPr>
          <w:rFonts w:ascii="Calibri" w:hAnsi="Calibri" w:cs="Calibri"/>
          <w:sz w:val="24"/>
          <w:szCs w:val="24"/>
        </w:rPr>
        <w:t xml:space="preserve">, </w:t>
      </w:r>
      <w:r w:rsidR="003765FB">
        <w:rPr>
          <w:rFonts w:ascii="Calibri" w:hAnsi="Calibri" w:cs="Calibri"/>
          <w:sz w:val="24"/>
          <w:szCs w:val="24"/>
        </w:rPr>
        <w:t xml:space="preserve">verifikator mora provjeriti potvrdu o službenoj verifikaciji instrumenta; i  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3B1E98" w:rsidP="003765FB">
      <w:pPr>
        <w:widowControl w:val="0"/>
        <w:numPr>
          <w:ilvl w:val="0"/>
          <w:numId w:val="15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40"/>
          <w:szCs w:val="40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da je postoji odgovarajuće održavanje i da je uspostavljen sustav baždarenja te da komunalno ili </w:t>
      </w:r>
      <w:r w:rsidR="000A0779">
        <w:rPr>
          <w:rFonts w:ascii="Calibri" w:hAnsi="Calibri" w:cs="Calibri"/>
          <w:sz w:val="24"/>
          <w:szCs w:val="24"/>
        </w:rPr>
        <w:t>mrežno</w:t>
      </w:r>
      <w:r w:rsidR="001D3BFC">
        <w:rPr>
          <w:rFonts w:ascii="Calibri" w:hAnsi="Calibri" w:cs="Calibri"/>
          <w:sz w:val="24"/>
          <w:szCs w:val="24"/>
        </w:rPr>
        <w:t xml:space="preserve"> </w:t>
      </w:r>
      <w:r w:rsidR="00952171">
        <w:rPr>
          <w:rFonts w:ascii="Calibri" w:hAnsi="Calibri" w:cs="Calibri"/>
          <w:sz w:val="24"/>
          <w:szCs w:val="24"/>
        </w:rPr>
        <w:t xml:space="preserve">poduzeće omogućava </w:t>
      </w:r>
      <w:r w:rsidR="002B532C">
        <w:rPr>
          <w:rFonts w:ascii="Calibri" w:hAnsi="Calibri" w:cs="Calibri"/>
          <w:sz w:val="24"/>
          <w:szCs w:val="24"/>
        </w:rPr>
        <w:t xml:space="preserve">operateru </w:t>
      </w:r>
      <w:r w:rsidR="00952171">
        <w:rPr>
          <w:rFonts w:ascii="Calibri" w:hAnsi="Calibri" w:cs="Calibri"/>
          <w:sz w:val="24"/>
          <w:szCs w:val="24"/>
        </w:rPr>
        <w:t>pristup relevantnim podacima da ih koristi kao dokaze. Verifikator mora imati dovoljno uvjerenje da se instrument redovito održava i baždari (npr. provjera rezultata baždarenja i specifikacija proizvođača</w:t>
      </w:r>
      <w:r w:rsidR="001D3BFC">
        <w:rPr>
          <w:rFonts w:ascii="Calibri" w:hAnsi="Calibri" w:cs="Calibri"/>
          <w:sz w:val="24"/>
          <w:szCs w:val="24"/>
        </w:rPr>
        <w:t xml:space="preserve">).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3B1E98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Kada operater koristi</w:t>
      </w:r>
      <w:r w:rsidR="00952171">
        <w:rPr>
          <w:rFonts w:ascii="Calibri" w:hAnsi="Calibri" w:cs="Calibri"/>
          <w:sz w:val="24"/>
          <w:szCs w:val="24"/>
        </w:rPr>
        <w:t xml:space="preserve"> podatke </w:t>
      </w:r>
      <w:r w:rsidR="00806480">
        <w:rPr>
          <w:rFonts w:ascii="Calibri" w:hAnsi="Calibri" w:cs="Calibri"/>
          <w:sz w:val="24"/>
          <w:szCs w:val="24"/>
        </w:rPr>
        <w:t>u</w:t>
      </w:r>
      <w:r w:rsidR="00952171">
        <w:rPr>
          <w:rFonts w:ascii="Calibri" w:hAnsi="Calibri" w:cs="Calibri"/>
          <w:sz w:val="24"/>
          <w:szCs w:val="24"/>
        </w:rPr>
        <w:t xml:space="preserve"> fakturama za praćenje podataka o aktivnostima (kriterij </w:t>
      </w:r>
      <w:r w:rsidR="001D3BFC">
        <w:rPr>
          <w:rFonts w:ascii="Calibri" w:hAnsi="Calibri" w:cs="Calibri"/>
          <w:sz w:val="24"/>
          <w:szCs w:val="24"/>
        </w:rPr>
        <w:t xml:space="preserve">II), </w:t>
      </w:r>
      <w:r w:rsidR="00952171">
        <w:rPr>
          <w:rFonts w:ascii="Calibri" w:hAnsi="Calibri" w:cs="Calibri"/>
          <w:sz w:val="24"/>
          <w:szCs w:val="24"/>
        </w:rPr>
        <w:t xml:space="preserve">podaci u fakturama temelje se na fiskalnom mjerenju </w:t>
      </w:r>
      <w:r w:rsidR="00806480">
        <w:rPr>
          <w:rFonts w:ascii="Calibri" w:hAnsi="Calibri" w:cs="Calibri"/>
          <w:sz w:val="24"/>
          <w:szCs w:val="24"/>
        </w:rPr>
        <w:t xml:space="preserve">te se </w:t>
      </w:r>
      <w:r w:rsidR="00952171">
        <w:rPr>
          <w:rFonts w:ascii="Calibri" w:hAnsi="Calibri" w:cs="Calibri"/>
          <w:sz w:val="24"/>
          <w:szCs w:val="24"/>
        </w:rPr>
        <w:t xml:space="preserve">također primjenjuje gornji </w:t>
      </w:r>
      <w:r w:rsidR="00806480">
        <w:rPr>
          <w:rFonts w:ascii="Calibri" w:hAnsi="Calibri" w:cs="Calibri"/>
          <w:sz w:val="24"/>
          <w:szCs w:val="24"/>
        </w:rPr>
        <w:t>stavak</w:t>
      </w:r>
      <w:r w:rsidR="00952171">
        <w:rPr>
          <w:rFonts w:ascii="Calibri" w:hAnsi="Calibri" w:cs="Calibri"/>
          <w:sz w:val="24"/>
          <w:szCs w:val="24"/>
        </w:rPr>
        <w:t xml:space="preserve">. Nadalje, operater mora dokazati da su iz faktura uzeti točni podaci (npr. očitanja s </w:t>
      </w:r>
      <w:r w:rsidR="00806480">
        <w:rPr>
          <w:rFonts w:ascii="Calibri" w:hAnsi="Calibri" w:cs="Calibri"/>
          <w:sz w:val="24"/>
          <w:szCs w:val="24"/>
        </w:rPr>
        <w:t>brojila</w:t>
      </w:r>
      <w:r w:rsidR="00952171">
        <w:rPr>
          <w:rFonts w:ascii="Calibri" w:hAnsi="Calibri" w:cs="Calibri"/>
          <w:sz w:val="24"/>
          <w:szCs w:val="24"/>
        </w:rPr>
        <w:t xml:space="preserve">, a ne očitanja </w:t>
      </w:r>
      <w:proofErr w:type="spellStart"/>
      <w:r w:rsidR="00952171">
        <w:rPr>
          <w:rFonts w:ascii="Calibri" w:hAnsi="Calibri" w:cs="Calibri"/>
          <w:sz w:val="24"/>
          <w:szCs w:val="24"/>
        </w:rPr>
        <w:t>KWh</w:t>
      </w:r>
      <w:proofErr w:type="spellEnd"/>
      <w:r w:rsidR="001D3BFC">
        <w:rPr>
          <w:rFonts w:ascii="Calibri" w:hAnsi="Calibri" w:cs="Calibri"/>
          <w:sz w:val="24"/>
          <w:szCs w:val="24"/>
        </w:rPr>
        <w:t>).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952171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 kriterije </w:t>
      </w:r>
      <w:r w:rsidR="001D3BFC">
        <w:rPr>
          <w:rFonts w:ascii="Calibri" w:hAnsi="Calibri" w:cs="Calibri"/>
          <w:sz w:val="24"/>
          <w:szCs w:val="24"/>
        </w:rPr>
        <w:t xml:space="preserve">III </w:t>
      </w:r>
      <w:r>
        <w:rPr>
          <w:rFonts w:ascii="Calibri" w:hAnsi="Calibri" w:cs="Calibri"/>
          <w:sz w:val="24"/>
          <w:szCs w:val="24"/>
        </w:rPr>
        <w:t>i</w:t>
      </w:r>
      <w:r w:rsidR="001D3BFC">
        <w:rPr>
          <w:rFonts w:ascii="Calibri" w:hAnsi="Calibri" w:cs="Calibri"/>
          <w:sz w:val="24"/>
          <w:szCs w:val="24"/>
        </w:rPr>
        <w:t xml:space="preserve"> IV </w:t>
      </w:r>
      <w:r>
        <w:rPr>
          <w:rFonts w:ascii="Calibri" w:hAnsi="Calibri" w:cs="Calibri"/>
          <w:sz w:val="24"/>
          <w:szCs w:val="24"/>
        </w:rPr>
        <w:t xml:space="preserve">operater također mora dokazati verifikatoru da je uspostavljen primjeren sustav baždarenja i održavanja za brojila i da se brojila baždare u skladu sa zahtijevanim vremenskim razmacima i ostalim zahtjevima koji ispunjavaju </w:t>
      </w:r>
      <w:r w:rsidR="00806480">
        <w:rPr>
          <w:rFonts w:ascii="Calibri" w:hAnsi="Calibri" w:cs="Calibri"/>
          <w:sz w:val="24"/>
          <w:szCs w:val="24"/>
        </w:rPr>
        <w:t>zahtijevanu</w:t>
      </w:r>
      <w:r>
        <w:rPr>
          <w:rFonts w:ascii="Calibri" w:hAnsi="Calibri" w:cs="Calibri"/>
          <w:sz w:val="24"/>
          <w:szCs w:val="24"/>
        </w:rPr>
        <w:t xml:space="preserve"> nesigurnosti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B924E5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Dobivanje odobrenja nadležnog tijela </w:t>
      </w:r>
      <w:r w:rsidR="001D3BFC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542E95" w:rsidP="008064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B3A">
        <w:rPr>
          <w:rFonts w:ascii="Wingdings" w:hAnsi="Wingdings" w:cs="Wingdings"/>
          <w:noProof/>
          <w:sz w:val="24"/>
          <w:szCs w:val="24"/>
          <w:vertAlign w:val="superscript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3C0589" wp14:editId="3AAD0368">
                <wp:simplePos x="0" y="0"/>
                <wp:positionH relativeFrom="column">
                  <wp:posOffset>5794375</wp:posOffset>
                </wp:positionH>
                <wp:positionV relativeFrom="paragraph">
                  <wp:posOffset>57150</wp:posOffset>
                </wp:positionV>
                <wp:extent cx="643890" cy="1403985"/>
                <wp:effectExtent l="0" t="0" r="381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6B3A" w:rsidRPr="00C96B3A" w:rsidRDefault="00C96B3A" w:rsidP="00C96B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C96B3A">
                              <w:rPr>
                                <w:b/>
                                <w:sz w:val="18"/>
                              </w:rPr>
                              <w:t xml:space="preserve">Čl. 31. </w:t>
                            </w:r>
                          </w:p>
                          <w:p w:rsidR="00C96B3A" w:rsidRPr="00C96B3A" w:rsidRDefault="00C96B3A" w:rsidP="00C96B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C96B3A">
                              <w:rPr>
                                <w:b/>
                                <w:sz w:val="18"/>
                              </w:rPr>
                              <w:t xml:space="preserve">st. 1. i 2. </w:t>
                            </w:r>
                          </w:p>
                          <w:p w:rsidR="00C96B3A" w:rsidRPr="00C96B3A" w:rsidRDefault="00C96B3A" w:rsidP="00C96B3A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</w:rPr>
                            </w:pPr>
                            <w:r w:rsidRPr="00C96B3A">
                              <w:rPr>
                                <w:b/>
                                <w:sz w:val="18"/>
                              </w:rPr>
                              <w:t>UAV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6.25pt;margin-top:4.5pt;width:50.7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" stroked="f">
                <v:textbox style="mso-fit-shape-to-text:t">
                  <w:txbxContent>
                    <w:p w:rsidR="00C96B3A" w:rsidRPr="00C96B3A" w:rsidRDefault="00C96B3A" w:rsidP="00C96B3A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C96B3A">
                        <w:rPr>
                          <w:b/>
                          <w:sz w:val="18"/>
                        </w:rPr>
                        <w:t xml:space="preserve">Čl. 31. </w:t>
                      </w:r>
                    </w:p>
                    <w:p w:rsidR="00C96B3A" w:rsidRPr="00C96B3A" w:rsidRDefault="00C96B3A" w:rsidP="00C96B3A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C96B3A">
                        <w:rPr>
                          <w:b/>
                          <w:sz w:val="18"/>
                        </w:rPr>
                        <w:t xml:space="preserve">st. 1. i 2. </w:t>
                      </w:r>
                    </w:p>
                    <w:p w:rsidR="00C96B3A" w:rsidRPr="00C96B3A" w:rsidRDefault="00C96B3A" w:rsidP="00C96B3A">
                      <w:pPr>
                        <w:spacing w:after="0" w:line="240" w:lineRule="auto"/>
                        <w:rPr>
                          <w:b/>
                          <w:sz w:val="18"/>
                        </w:rPr>
                      </w:pPr>
                      <w:r w:rsidRPr="00C96B3A">
                        <w:rPr>
                          <w:b/>
                          <w:sz w:val="18"/>
                        </w:rPr>
                        <w:t>UAV</w:t>
                      </w:r>
                    </w:p>
                  </w:txbxContent>
                </v:textbox>
              </v:shape>
            </w:pict>
          </mc:Fallback>
        </mc:AlternateContent>
      </w:r>
      <w:r w:rsidR="00B924E5">
        <w:rPr>
          <w:rFonts w:ascii="Calibri" w:hAnsi="Calibri" w:cs="Calibri"/>
          <w:sz w:val="24"/>
          <w:szCs w:val="24"/>
        </w:rPr>
        <w:t>Osim ako se ne odnosi na postrojenje s niskim emisijama, operater mora podnijeti zahtjev nadležnom tijelu za odobrenje neprovođenja terenskog obilaska. Uz zahtjev za neprovođenje terenskog obilaska treba priložiti dokaze o ispunjavanju svih uvjeta</w:t>
      </w:r>
      <w:r w:rsidR="001D3BFC">
        <w:rPr>
          <w:rFonts w:ascii="Calibri" w:hAnsi="Calibri" w:cs="Calibri"/>
          <w:sz w:val="24"/>
          <w:szCs w:val="24"/>
        </w:rPr>
        <w:t>:</w:t>
      </w:r>
    </w:p>
    <w:p w:rsidR="0007038B" w:rsidRPr="00C96B3A" w:rsidRDefault="00B924E5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ishod </w:t>
      </w:r>
      <w:proofErr w:type="spellStart"/>
      <w:r>
        <w:rPr>
          <w:rFonts w:ascii="Calibri" w:hAnsi="Calibri" w:cs="Calibri"/>
          <w:sz w:val="24"/>
          <w:szCs w:val="24"/>
        </w:rPr>
        <w:t>verifikatorove</w:t>
      </w:r>
      <w:proofErr w:type="spellEnd"/>
      <w:r>
        <w:rPr>
          <w:rFonts w:ascii="Calibri" w:hAnsi="Calibri" w:cs="Calibri"/>
          <w:sz w:val="24"/>
          <w:szCs w:val="24"/>
        </w:rPr>
        <w:t xml:space="preserve"> analize rizika koji opravdava zaključak da su inherentni i kontrolni rizici niski te da nije potreban terenski obilazak da bi se provjerila točnost podataka i provedba te sukladnost s PP-om</w:t>
      </w:r>
      <w:r w:rsidR="001D3BFC" w:rsidRPr="00B924E5">
        <w:rPr>
          <w:rFonts w:ascii="Calibri" w:hAnsi="Calibri" w:cs="Calibri"/>
          <w:sz w:val="24"/>
          <w:szCs w:val="24"/>
        </w:rPr>
        <w:t xml:space="preserve">; </w:t>
      </w:r>
    </w:p>
    <w:p w:rsidR="0007038B" w:rsidRPr="00C96B3A" w:rsidRDefault="00952171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izjava verifikatora o uvjerenju u nepotrebnost provođenja terenskog obilaska </w:t>
      </w:r>
      <w:r w:rsidR="00C96B3A">
        <w:rPr>
          <w:rFonts w:ascii="Calibri" w:hAnsi="Calibri" w:cs="Calibri"/>
          <w:sz w:val="24"/>
          <w:szCs w:val="24"/>
        </w:rPr>
        <w:t>na temelju vlastite analize rizika, i da prihvaća rizik neprovođenja terenskog obilaska</w:t>
      </w:r>
      <w:r w:rsidR="001D3BFC" w:rsidRPr="00B924E5">
        <w:rPr>
          <w:rFonts w:ascii="Calibri" w:hAnsi="Calibri" w:cs="Calibri"/>
          <w:sz w:val="24"/>
          <w:szCs w:val="24"/>
        </w:rPr>
        <w:t xml:space="preserve">; </w:t>
      </w:r>
    </w:p>
    <w:p w:rsidR="0007038B" w:rsidRPr="00C96B3A" w:rsidRDefault="00C96B3A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izjava verifikatora da je, na temelju analize rizika verifikatora, svim podacima omogućen daljinski pristup</w:t>
      </w:r>
      <w:r w:rsidR="001D3BFC" w:rsidRPr="00B924E5">
        <w:rPr>
          <w:rFonts w:ascii="Calibri" w:hAnsi="Calibri" w:cs="Calibri"/>
          <w:sz w:val="24"/>
          <w:szCs w:val="24"/>
        </w:rPr>
        <w:t xml:space="preserve">; </w:t>
      </w:r>
    </w:p>
    <w:p w:rsidR="0007038B" w:rsidRPr="00C96B3A" w:rsidRDefault="00C96B3A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>izjava verifikatora u kojoj se navodi koji se kriterij koji je odredila Komisija primjenjuje</w:t>
      </w:r>
      <w:r w:rsidR="001D3BFC" w:rsidRPr="00B924E5">
        <w:rPr>
          <w:rFonts w:ascii="Calibri" w:hAnsi="Calibri" w:cs="Calibri"/>
          <w:sz w:val="24"/>
          <w:szCs w:val="24"/>
        </w:rPr>
        <w:t xml:space="preserve">; </w:t>
      </w:r>
    </w:p>
    <w:p w:rsidR="0007038B" w:rsidRPr="00B924E5" w:rsidRDefault="00C96B3A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dokaz da je </w:t>
      </w:r>
      <w:r w:rsidR="00542E95">
        <w:rPr>
          <w:rFonts w:ascii="Calibri" w:hAnsi="Calibri" w:cs="Calibri"/>
          <w:sz w:val="24"/>
          <w:szCs w:val="24"/>
        </w:rPr>
        <w:t>kvaliteta</w:t>
      </w:r>
      <w:r>
        <w:rPr>
          <w:rFonts w:ascii="Calibri" w:hAnsi="Calibri" w:cs="Calibri"/>
          <w:sz w:val="24"/>
          <w:szCs w:val="24"/>
        </w:rPr>
        <w:t xml:space="preserve"> </w:t>
      </w:r>
      <w:r w:rsidR="00542E95">
        <w:rPr>
          <w:rFonts w:ascii="Calibri" w:hAnsi="Calibri" w:cs="Calibri"/>
          <w:sz w:val="24"/>
          <w:szCs w:val="24"/>
        </w:rPr>
        <w:t>baždarenja</w:t>
      </w:r>
      <w:r>
        <w:rPr>
          <w:rFonts w:ascii="Calibri" w:hAnsi="Calibri" w:cs="Calibri"/>
          <w:sz w:val="24"/>
          <w:szCs w:val="24"/>
        </w:rPr>
        <w:t xml:space="preserve">, upravljanje i </w:t>
      </w:r>
      <w:r w:rsidR="00542E95">
        <w:rPr>
          <w:rFonts w:ascii="Calibri" w:hAnsi="Calibri" w:cs="Calibri"/>
          <w:sz w:val="24"/>
          <w:szCs w:val="24"/>
        </w:rPr>
        <w:t>inspekcijski</w:t>
      </w:r>
      <w:r>
        <w:rPr>
          <w:rFonts w:ascii="Calibri" w:hAnsi="Calibri" w:cs="Calibri"/>
          <w:sz w:val="24"/>
          <w:szCs w:val="24"/>
        </w:rPr>
        <w:t xml:space="preserve"> nadzor opreme za praćenje pouzdan, primjerice dostavom potvrda o baždarenju i</w:t>
      </w:r>
      <w:r w:rsidR="00542E95">
        <w:rPr>
          <w:rFonts w:ascii="Calibri" w:hAnsi="Calibri" w:cs="Calibri"/>
          <w:sz w:val="24"/>
          <w:szCs w:val="24"/>
        </w:rPr>
        <w:t xml:space="preserve"> upućivanja na ugovore s dobavljačima, izvješća o baždarenju i izvješća o održavanju</w:t>
      </w:r>
      <w:r w:rsidR="001D3BFC" w:rsidRPr="00B924E5">
        <w:rPr>
          <w:rFonts w:ascii="Calibri" w:hAnsi="Calibri" w:cs="Calibri"/>
          <w:sz w:val="24"/>
          <w:szCs w:val="24"/>
        </w:rPr>
        <w:t xml:space="preserve">; </w:t>
      </w:r>
    </w:p>
    <w:p w:rsidR="003B1E98" w:rsidRPr="00542E95" w:rsidRDefault="00542E95" w:rsidP="003765FB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r>
        <w:rPr>
          <w:rFonts w:ascii="Calibri" w:hAnsi="Calibri" w:cs="Calibri"/>
          <w:sz w:val="24"/>
          <w:szCs w:val="24"/>
        </w:rPr>
        <w:t xml:space="preserve">za kriterije </w:t>
      </w:r>
      <w:r w:rsidR="001D3BFC" w:rsidRPr="00B924E5">
        <w:rPr>
          <w:rFonts w:ascii="Calibri" w:hAnsi="Calibri" w:cs="Calibri"/>
          <w:sz w:val="24"/>
          <w:szCs w:val="24"/>
        </w:rPr>
        <w:t xml:space="preserve">III </w:t>
      </w:r>
      <w:r>
        <w:rPr>
          <w:rFonts w:ascii="Calibri" w:hAnsi="Calibri" w:cs="Calibri"/>
          <w:sz w:val="24"/>
          <w:szCs w:val="24"/>
        </w:rPr>
        <w:t>i IV, dokaz da je operater ili laboratorij pregledao brojila na licu mjesta u skladu s UPI-</w:t>
      </w:r>
      <w:proofErr w:type="spellStart"/>
      <w:r>
        <w:rPr>
          <w:rFonts w:ascii="Calibri" w:hAnsi="Calibri" w:cs="Calibri"/>
          <w:sz w:val="24"/>
          <w:szCs w:val="24"/>
        </w:rPr>
        <w:t>jem</w:t>
      </w:r>
      <w:proofErr w:type="spellEnd"/>
      <w:r w:rsidR="001D3BFC" w:rsidRPr="00B924E5">
        <w:rPr>
          <w:rFonts w:ascii="Calibri" w:hAnsi="Calibri" w:cs="Calibri"/>
          <w:sz w:val="24"/>
          <w:szCs w:val="24"/>
        </w:rPr>
        <w:t xml:space="preserve">, </w:t>
      </w:r>
      <w:r w:rsidR="00EE6BD1" w:rsidRPr="00EE6BD1">
        <w:rPr>
          <w:rFonts w:ascii="Calibri" w:hAnsi="Calibri" w:cs="Calibri"/>
          <w:sz w:val="24"/>
          <w:szCs w:val="24"/>
        </w:rPr>
        <w:t>a operater potpisanim dokumentom ili fotografijom s vremenskim žigom dokazuje da od inspekcijskog nadzora nije bilo promjena u mjerenju ili operativnih promjena</w:t>
      </w:r>
      <w:r>
        <w:rPr>
          <w:rFonts w:ascii="Calibri" w:hAnsi="Calibri" w:cs="Calibri"/>
          <w:sz w:val="24"/>
          <w:szCs w:val="24"/>
        </w:rPr>
        <w:t xml:space="preserve">; </w:t>
      </w:r>
    </w:p>
    <w:p w:rsidR="0007038B" w:rsidRPr="00542E95" w:rsidRDefault="00542E95" w:rsidP="00542E95">
      <w:pPr>
        <w:widowControl w:val="0"/>
        <w:numPr>
          <w:ilvl w:val="0"/>
          <w:numId w:val="16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8"/>
        <w:jc w:val="both"/>
        <w:rPr>
          <w:rFonts w:ascii="Wingdings" w:hAnsi="Wingdings" w:cs="Wingdings"/>
          <w:sz w:val="24"/>
          <w:szCs w:val="24"/>
          <w:vertAlign w:val="superscript"/>
        </w:rPr>
      </w:pPr>
      <w:bookmarkStart w:id="7" w:name="page8"/>
      <w:bookmarkEnd w:id="7"/>
      <w:r>
        <w:rPr>
          <w:rFonts w:ascii="Calibri" w:hAnsi="Calibri" w:cs="Calibri"/>
          <w:sz w:val="24"/>
          <w:szCs w:val="24"/>
        </w:rPr>
        <w:t>izjava verifikatora da nisu primjenjivi uvjeti za obijanje odobrenja koje daje NT, a koji su navedeni u stavku ispod</w:t>
      </w:r>
      <w:r w:rsidR="001D3BFC" w:rsidRPr="00542E95">
        <w:rPr>
          <w:rFonts w:ascii="Calibri" w:hAnsi="Calibri" w:cs="Calibri"/>
          <w:sz w:val="24"/>
          <w:szCs w:val="24"/>
        </w:rPr>
        <w:t xml:space="preserve">. </w:t>
      </w:r>
    </w:p>
    <w:p w:rsidR="0007038B" w:rsidRPr="00542E95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80" w:rsidRDefault="00806480" w:rsidP="00806480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NT o takvom zahtjevu donosi pozitivnu odluku ako su ispunjeni svi uvjeti.</w:t>
      </w: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542E95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Calibri" w:hAnsi="Calibri" w:cs="Calibri"/>
          <w:sz w:val="24"/>
          <w:szCs w:val="24"/>
        </w:rPr>
      </w:pP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480" w:rsidRDefault="00806480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Calibri" w:hAnsi="Calibri" w:cs="Calibri"/>
          <w:sz w:val="24"/>
          <w:szCs w:val="24"/>
        </w:rPr>
      </w:pPr>
    </w:p>
    <w:p w:rsidR="00806480" w:rsidRDefault="00806480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Calibri" w:hAnsi="Calibri" w:cs="Calibri"/>
          <w:sz w:val="24"/>
          <w:szCs w:val="24"/>
        </w:rPr>
      </w:pPr>
    </w:p>
    <w:p w:rsidR="0007038B" w:rsidRDefault="00542E95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Prilikom donošenja odluke, NT također uzima u obzir povijest sukladnosti postrojenja (npr. ako se odnosi na postrojenje koje ima povijest neverificiranog verifikacijskog mišljenja, NT će biti manje sklon odobriti neprovođenje terenskog obilaska</w:t>
      </w:r>
      <w:r w:rsidR="001D3BFC">
        <w:rPr>
          <w:rFonts w:ascii="Calibri" w:hAnsi="Calibri" w:cs="Calibri"/>
          <w:sz w:val="24"/>
          <w:szCs w:val="24"/>
        </w:rPr>
        <w:t>).</w:t>
      </w:r>
      <w:r w:rsidR="00EE6BD1">
        <w:rPr>
          <w:rFonts w:ascii="Calibri" w:hAnsi="Calibri" w:cs="Calibri"/>
          <w:sz w:val="24"/>
          <w:szCs w:val="24"/>
        </w:rPr>
        <w:t xml:space="preserve">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542E95" w:rsidP="003765FB">
      <w:pPr>
        <w:widowControl w:val="0"/>
        <w:autoSpaceDE w:val="0"/>
        <w:autoSpaceDN w:val="0"/>
        <w:adjustRightInd w:val="0"/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NT neće dati odobrenje ako</w:t>
      </w:r>
      <w:r w:rsidR="001D3BFC">
        <w:rPr>
          <w:rFonts w:ascii="Calibri" w:hAnsi="Calibri" w:cs="Calibri"/>
          <w:sz w:val="24"/>
          <w:szCs w:val="24"/>
        </w:rPr>
        <w:t>:</w:t>
      </w:r>
    </w:p>
    <w:p w:rsidR="0007038B" w:rsidRPr="003765FB" w:rsidRDefault="003765FB" w:rsidP="003765FB">
      <w:pPr>
        <w:pStyle w:val="Odlomakpopisa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567" w:hanging="283"/>
        <w:rPr>
          <w:rFonts w:cs="Times New Roman"/>
          <w:sz w:val="24"/>
          <w:szCs w:val="24"/>
        </w:rPr>
      </w:pPr>
      <w:r>
        <w:rPr>
          <w:rFonts w:cs="Wingdings"/>
          <w:sz w:val="24"/>
          <w:szCs w:val="24"/>
        </w:rPr>
        <w:t xml:space="preserve">izvješće o emisijama </w:t>
      </w:r>
      <w:r w:rsidR="00D252FB">
        <w:rPr>
          <w:rFonts w:cs="Calibri"/>
          <w:sz w:val="24"/>
          <w:szCs w:val="24"/>
        </w:rPr>
        <w:t>po prvi put verificira predmetni verifikator</w:t>
      </w:r>
      <w:r w:rsidR="00D252FB">
        <w:rPr>
          <w:rStyle w:val="Referencafusnote"/>
          <w:rFonts w:cs="Calibri"/>
          <w:sz w:val="24"/>
          <w:szCs w:val="24"/>
        </w:rPr>
        <w:footnoteReference w:id="13"/>
      </w:r>
      <w:r w:rsidR="001D3BFC" w:rsidRPr="003765FB">
        <w:rPr>
          <w:rFonts w:cs="Calibri"/>
          <w:sz w:val="24"/>
          <w:szCs w:val="24"/>
        </w:rPr>
        <w:t>;</w:t>
      </w:r>
    </w:p>
    <w:p w:rsidR="0007038B" w:rsidRPr="00D252FB" w:rsidRDefault="00D252FB" w:rsidP="003765FB">
      <w:pPr>
        <w:widowControl w:val="0"/>
        <w:numPr>
          <w:ilvl w:val="1"/>
          <w:numId w:val="18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u prethodne dvije godine nije proveden ni jedan terenski obilazak</w:t>
      </w:r>
      <w:r w:rsidR="001D3BFC" w:rsidRPr="003765FB">
        <w:rPr>
          <w:rFonts w:cs="Calibri"/>
          <w:sz w:val="24"/>
          <w:szCs w:val="24"/>
        </w:rPr>
        <w:t xml:space="preserve">; </w:t>
      </w:r>
    </w:p>
    <w:p w:rsidR="0007038B" w:rsidRPr="003765FB" w:rsidRDefault="002B532C" w:rsidP="003765FB">
      <w:pPr>
        <w:widowControl w:val="0"/>
        <w:numPr>
          <w:ilvl w:val="1"/>
          <w:numId w:val="18"/>
        </w:numPr>
        <w:tabs>
          <w:tab w:val="clear" w:pos="1440"/>
          <w:tab w:val="num" w:pos="564"/>
        </w:tabs>
        <w:overflowPunct w:val="0"/>
        <w:autoSpaceDE w:val="0"/>
        <w:autoSpaceDN w:val="0"/>
        <w:adjustRightInd w:val="0"/>
        <w:spacing w:after="0" w:line="240" w:lineRule="auto"/>
        <w:ind w:left="564" w:hanging="278"/>
        <w:jc w:val="both"/>
        <w:rPr>
          <w:rFonts w:cs="Wingdings"/>
          <w:sz w:val="24"/>
          <w:szCs w:val="24"/>
          <w:vertAlign w:val="superscript"/>
        </w:rPr>
      </w:pPr>
      <w:r>
        <w:rPr>
          <w:rFonts w:cs="Calibri"/>
          <w:sz w:val="24"/>
          <w:szCs w:val="24"/>
        </w:rPr>
        <w:t>nastupile su značajne promjene plana praćenja propisane u članku 15. UPI-ja</w:t>
      </w:r>
      <w:r>
        <w:rPr>
          <w:rStyle w:val="Referencafusnote"/>
          <w:rFonts w:cs="Calibri"/>
          <w:sz w:val="24"/>
          <w:szCs w:val="24"/>
        </w:rPr>
        <w:footnoteReference w:id="14"/>
      </w:r>
      <w:r w:rsidR="001D3BFC" w:rsidRPr="003765FB">
        <w:rPr>
          <w:rFonts w:cs="Calibri"/>
          <w:sz w:val="24"/>
          <w:szCs w:val="24"/>
        </w:rPr>
        <w:t xml:space="preserve">. </w:t>
      </w:r>
    </w:p>
    <w:p w:rsidR="0007038B" w:rsidRPr="003765F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cs="Wingdings"/>
          <w:sz w:val="24"/>
          <w:szCs w:val="24"/>
          <w:vertAlign w:val="superscript"/>
        </w:rPr>
      </w:pPr>
    </w:p>
    <w:p w:rsidR="0007038B" w:rsidRDefault="00B924E5" w:rsidP="003765FB">
      <w:pPr>
        <w:widowControl w:val="0"/>
        <w:numPr>
          <w:ilvl w:val="0"/>
          <w:numId w:val="18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Izvještavanje o terenskim obilascima u internoj verifikacijskoj dokumentaciji i u verifikacijsko</w:t>
      </w:r>
      <w:r w:rsidR="00EE6BD1">
        <w:rPr>
          <w:rFonts w:ascii="Calibri" w:hAnsi="Calibri" w:cs="Calibri"/>
          <w:b/>
          <w:bCs/>
          <w:sz w:val="24"/>
          <w:szCs w:val="24"/>
        </w:rPr>
        <w:t>m</w:t>
      </w:r>
      <w:r>
        <w:rPr>
          <w:rFonts w:ascii="Calibri" w:hAnsi="Calibri" w:cs="Calibri"/>
          <w:b/>
          <w:bCs/>
          <w:sz w:val="24"/>
          <w:szCs w:val="24"/>
        </w:rPr>
        <w:t xml:space="preserve"> izvješću 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D3BF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07038B" w:rsidRDefault="0007038B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38B" w:rsidRDefault="003765FB" w:rsidP="003765F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Prilog</w:t>
      </w:r>
      <w:r w:rsidR="001D3BFC">
        <w:rPr>
          <w:rFonts w:ascii="Calibri" w:hAnsi="Calibri" w:cs="Calibri"/>
          <w:sz w:val="24"/>
          <w:szCs w:val="24"/>
        </w:rPr>
        <w:t xml:space="preserve"> II</w:t>
      </w:r>
      <w:r>
        <w:rPr>
          <w:rFonts w:ascii="Calibri" w:hAnsi="Calibri" w:cs="Calibri"/>
          <w:sz w:val="24"/>
          <w:szCs w:val="24"/>
        </w:rPr>
        <w:t>. Upute s objašnjenjima (UP</w:t>
      </w:r>
      <w:r w:rsidR="001D3BFC">
        <w:rPr>
          <w:rFonts w:ascii="Calibri" w:hAnsi="Calibri" w:cs="Calibri"/>
          <w:sz w:val="24"/>
          <w:szCs w:val="24"/>
        </w:rPr>
        <w:t xml:space="preserve"> I)</w:t>
      </w:r>
      <w:r>
        <w:rPr>
          <w:rFonts w:ascii="Calibri" w:hAnsi="Calibri" w:cs="Calibri"/>
          <w:sz w:val="24"/>
          <w:szCs w:val="24"/>
        </w:rPr>
        <w:t xml:space="preserve"> i Ključna uputa za verifikacijsko izvješće (KUP </w:t>
      </w:r>
      <w:r w:rsidR="001D3BFC">
        <w:rPr>
          <w:rFonts w:ascii="Calibri" w:hAnsi="Calibri" w:cs="Calibri"/>
          <w:sz w:val="24"/>
          <w:szCs w:val="24"/>
        </w:rPr>
        <w:t xml:space="preserve">II.6) </w:t>
      </w:r>
      <w:r>
        <w:rPr>
          <w:rFonts w:ascii="Calibri" w:hAnsi="Calibri" w:cs="Calibri"/>
          <w:sz w:val="24"/>
          <w:szCs w:val="24"/>
        </w:rPr>
        <w:t>objašnjavaju koje informacije o terenskim obilascima i neprovođenju terenskih obilazaka trebaju biti uključene u internu verifikacijsku dokumentaciju i verifikacijsko izvješće</w:t>
      </w:r>
      <w:r w:rsidR="001D3BFC">
        <w:rPr>
          <w:rFonts w:ascii="Calibri" w:hAnsi="Calibri" w:cs="Calibri"/>
          <w:sz w:val="24"/>
          <w:szCs w:val="24"/>
        </w:rPr>
        <w:t>.</w:t>
      </w:r>
    </w:p>
    <w:p w:rsidR="0007038B" w:rsidRDefault="00AD2791" w:rsidP="003765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07038B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 w:cs="Times New Roman"/>
          <w:sz w:val="24"/>
          <w:szCs w:val="24"/>
        </w:rPr>
      </w:pPr>
    </w:p>
    <w:p w:rsidR="0007038B" w:rsidRDefault="00D252FB" w:rsidP="00AD2791">
      <w:pPr>
        <w:widowControl w:val="0"/>
        <w:overflowPunct w:val="0"/>
        <w:autoSpaceDE w:val="0"/>
        <w:autoSpaceDN w:val="0"/>
        <w:adjustRightInd w:val="0"/>
        <w:spacing w:after="0" w:line="190" w:lineRule="auto"/>
        <w:ind w:right="300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07038B" w:rsidRDefault="0007038B">
      <w:pPr>
        <w:widowControl w:val="0"/>
        <w:autoSpaceDE w:val="0"/>
        <w:autoSpaceDN w:val="0"/>
        <w:adjustRightInd w:val="0"/>
        <w:spacing w:after="0" w:line="46" w:lineRule="exact"/>
        <w:rPr>
          <w:rFonts w:ascii="Calibri" w:hAnsi="Calibri" w:cs="Calibri"/>
          <w:sz w:val="26"/>
          <w:szCs w:val="26"/>
          <w:vertAlign w:val="superscript"/>
        </w:rPr>
      </w:pPr>
    </w:p>
    <w:p w:rsidR="0007038B" w:rsidRDefault="00D252FB" w:rsidP="00D252FB">
      <w:pPr>
        <w:widowControl w:val="0"/>
        <w:overflowPunct w:val="0"/>
        <w:autoSpaceDE w:val="0"/>
        <w:autoSpaceDN w:val="0"/>
        <w:adjustRightInd w:val="0"/>
        <w:spacing w:after="0" w:line="204" w:lineRule="auto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1D3BF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="00AD2791">
        <w:rPr>
          <w:rFonts w:ascii="Calibri" w:hAnsi="Calibri" w:cs="Calibri"/>
          <w:b/>
          <w:bCs/>
          <w:sz w:val="20"/>
          <w:szCs w:val="20"/>
        </w:rPr>
        <w:t xml:space="preserve">  </w:t>
      </w:r>
    </w:p>
    <w:sectPr w:rsidR="0007038B">
      <w:pgSz w:w="11900" w:h="16840"/>
      <w:pgMar w:top="1440" w:right="340" w:bottom="715" w:left="1416" w:header="720" w:footer="720" w:gutter="0"/>
      <w:cols w:num="2" w:space="280" w:equalWidth="0">
        <w:col w:w="9064" w:space="280"/>
        <w:col w:w="8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FAC" w:rsidRDefault="002D7FAC" w:rsidP="000611E2">
      <w:pPr>
        <w:spacing w:after="0" w:line="240" w:lineRule="auto"/>
      </w:pPr>
      <w:r>
        <w:separator/>
      </w:r>
    </w:p>
  </w:endnote>
  <w:endnote w:type="continuationSeparator" w:id="0">
    <w:p w:rsidR="002D7FAC" w:rsidRDefault="002D7FAC" w:rsidP="0006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FAC" w:rsidRDefault="002D7FAC" w:rsidP="000611E2">
      <w:pPr>
        <w:spacing w:after="0" w:line="240" w:lineRule="auto"/>
      </w:pPr>
      <w:r>
        <w:separator/>
      </w:r>
    </w:p>
  </w:footnote>
  <w:footnote w:type="continuationSeparator" w:id="0">
    <w:p w:rsidR="002D7FAC" w:rsidRDefault="002D7FAC" w:rsidP="000611E2">
      <w:pPr>
        <w:spacing w:after="0" w:line="240" w:lineRule="auto"/>
      </w:pPr>
      <w:r>
        <w:continuationSeparator/>
      </w:r>
    </w:p>
  </w:footnote>
  <w:footnote w:id="1">
    <w:p w:rsidR="009F7335" w:rsidRDefault="009F7335" w:rsidP="000611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jc w:val="both"/>
        <w:rPr>
          <w:rFonts w:ascii="Calibri" w:hAnsi="Calibri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cs="Calibri"/>
          <w:sz w:val="20"/>
          <w:szCs w:val="20"/>
        </w:rPr>
        <w:t xml:space="preserve">Uredba Komisije (EU) br. 600/2012 od 21. lipnja 2012. </w:t>
      </w:r>
      <w:r>
        <w:rPr>
          <w:rFonts w:cs="Calibri"/>
          <w:bCs/>
          <w:sz w:val="20"/>
          <w:szCs w:val="20"/>
        </w:rPr>
        <w:t>o verifikaciji izvješća o stakleničkim plinovima i izvješća o tonskim kilometrima te o akreditaciji verifikatora u skladu s Direktivom 2003/87/EZ Europskog parlamenta i Vijeća</w:t>
      </w:r>
      <w:r>
        <w:rPr>
          <w:rFonts w:cs="Calibri"/>
          <w:sz w:val="20"/>
          <w:szCs w:val="20"/>
        </w:rPr>
        <w:t xml:space="preserve"> 2003/87/EC, SL EU, L 181/1. </w:t>
      </w:r>
    </w:p>
  </w:footnote>
  <w:footnote w:id="2">
    <w:p w:rsidR="009F7335" w:rsidRDefault="009F7335">
      <w:pPr>
        <w:pStyle w:val="Tekstfusnote"/>
      </w:pPr>
      <w:r>
        <w:rPr>
          <w:rStyle w:val="Referencafusnote"/>
        </w:rPr>
        <w:footnoteRef/>
      </w:r>
      <w:r>
        <w:t xml:space="preserve"> Za manja se postrojenja sjedište i lokacija postrojenja često nalaze na istom mjestu. </w:t>
      </w:r>
    </w:p>
  </w:footnote>
  <w:footnote w:id="3">
    <w:p w:rsidR="009F7335" w:rsidRPr="00CB377B" w:rsidRDefault="009F7335" w:rsidP="00CB377B">
      <w:pPr>
        <w:widowControl w:val="0"/>
        <w:overflowPunct w:val="0"/>
        <w:autoSpaceDE w:val="0"/>
        <w:autoSpaceDN w:val="0"/>
        <w:adjustRightInd w:val="0"/>
        <w:spacing w:after="0" w:line="181" w:lineRule="auto"/>
        <w:jc w:val="both"/>
        <w:rPr>
          <w:rFonts w:ascii="Calibri" w:hAnsi="Calibri" w:cs="Calibri"/>
          <w:sz w:val="23"/>
          <w:szCs w:val="23"/>
          <w:vertAlign w:val="superscript"/>
        </w:rPr>
      </w:pPr>
      <w:r>
        <w:rPr>
          <w:rStyle w:val="Referencafusnot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 xml:space="preserve">Za uputu o uzorkovanju pogledajte Ključnu uputu za uzorkovanje (KUP II.4). </w:t>
      </w:r>
    </w:p>
  </w:footnote>
  <w:footnote w:id="4">
    <w:p w:rsidR="009F7335" w:rsidRPr="00D655CD" w:rsidRDefault="009F7335">
      <w:pPr>
        <w:pStyle w:val="Tekstfusnote"/>
        <w:rPr>
          <w:vertAlign w:val="superscript"/>
        </w:rPr>
      </w:pPr>
      <w:r>
        <w:rPr>
          <w:rStyle w:val="Referencafusnote"/>
        </w:rPr>
        <w:footnoteRef/>
      </w:r>
      <w:r>
        <w:t xml:space="preserve"> </w:t>
      </w:r>
      <w:r w:rsidRPr="00D655CD">
        <w:t xml:space="preserve">Za više informacija pogledajte ključnu uputu o analizi rizika verifikatora (KUP II.2). </w:t>
      </w:r>
    </w:p>
  </w:footnote>
  <w:footnote w:id="5">
    <w:p w:rsidR="009F7335" w:rsidRPr="00AD2791" w:rsidRDefault="009F7335">
      <w:pPr>
        <w:pStyle w:val="Tekstfusnote"/>
      </w:pPr>
      <w:r>
        <w:rPr>
          <w:rStyle w:val="Referencafusnote"/>
        </w:rPr>
        <w:footnoteRef/>
      </w:r>
      <w:r>
        <w:t xml:space="preserve"> Odobrenje NT-a nije potrebno ako se odnosi na postrojenja koja emitiraju manje od 25 </w:t>
      </w:r>
      <w:proofErr w:type="spellStart"/>
      <w:r>
        <w:t>ktona</w:t>
      </w:r>
      <w:proofErr w:type="spellEnd"/>
      <w:r>
        <w:t xml:space="preserve"> CO</w:t>
      </w:r>
      <w:r w:rsidRPr="00AD2791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 xml:space="preserve">(postrojenja koja su navedena u članku 47. </w:t>
      </w:r>
      <w:r w:rsidR="003B1E98">
        <w:t>s</w:t>
      </w:r>
      <w:r>
        <w:t xml:space="preserve">tavku 2. UPI-ja). </w:t>
      </w:r>
    </w:p>
  </w:footnote>
  <w:footnote w:id="6">
    <w:p w:rsidR="00D666C2" w:rsidRDefault="00D666C2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BB5254">
        <w:t>Kriteriji I do IV su uvjeti koje utvrđuje Komisija sukladno članku 31. stavku 1. UAV-a.</w:t>
      </w:r>
    </w:p>
  </w:footnote>
  <w:footnote w:id="7">
    <w:p w:rsidR="00D840D7" w:rsidRPr="00BB5254" w:rsidRDefault="00D840D7">
      <w:pPr>
        <w:pStyle w:val="Tekstfusnote"/>
      </w:pPr>
      <w:r w:rsidRPr="00BB5254">
        <w:rPr>
          <w:rStyle w:val="Referencafusnote"/>
        </w:rPr>
        <w:footnoteRef/>
      </w:r>
      <w:r w:rsidRPr="00BB5254">
        <w:t xml:space="preserve"> </w:t>
      </w:r>
      <w:r w:rsidR="00D666C2" w:rsidRPr="00BB5254">
        <w:t>Postrojenja u kategoriji A, gdje su prosječne godišnje verificirane emisije u trgovinskom razdoblju koje neposredno prethodi sadašnjem trgovinskom razdoblju, s izuzetkom CO</w:t>
      </w:r>
      <w:r w:rsidR="00D666C2" w:rsidRPr="00BB5254">
        <w:rPr>
          <w:vertAlign w:val="subscript"/>
        </w:rPr>
        <w:t>2</w:t>
      </w:r>
      <w:r w:rsidR="00D666C2" w:rsidRPr="00BB5254">
        <w:t xml:space="preserve"> koji potječe iz biomase i prije oduzimanja prenesenog CO</w:t>
      </w:r>
      <w:r w:rsidR="00D666C2" w:rsidRPr="00BB5254">
        <w:rPr>
          <w:vertAlign w:val="subscript"/>
        </w:rPr>
        <w:t xml:space="preserve">2 </w:t>
      </w:r>
      <w:r w:rsidR="00D666C2" w:rsidRPr="00BB5254">
        <w:t xml:space="preserve">, jednake ili manje od </w:t>
      </w:r>
      <w:r w:rsidR="00D666C2" w:rsidRPr="00BB5254">
        <w:rPr>
          <w:rFonts w:ascii="Calibri" w:hAnsi="Calibri" w:cs="Calibri"/>
        </w:rPr>
        <w:t xml:space="preserve">50 000 </w:t>
      </w:r>
      <w:r w:rsidR="00D666C2">
        <w:rPr>
          <w:rFonts w:ascii="Calibri" w:hAnsi="Calibri" w:cs="Calibri"/>
        </w:rPr>
        <w:t>tona</w:t>
      </w:r>
      <w:r w:rsidR="00D666C2" w:rsidRPr="00BB5254">
        <w:rPr>
          <w:rFonts w:ascii="Calibri" w:hAnsi="Calibri" w:cs="Calibri"/>
        </w:rPr>
        <w:t xml:space="preserve"> CO</w:t>
      </w:r>
      <w:r w:rsidR="00D666C2" w:rsidRPr="00BB5254">
        <w:rPr>
          <w:rFonts w:ascii="Calibri" w:hAnsi="Calibri" w:cs="Calibri"/>
          <w:vertAlign w:val="subscript"/>
        </w:rPr>
        <w:t>2(e).</w:t>
      </w:r>
    </w:p>
  </w:footnote>
  <w:footnote w:id="8">
    <w:p w:rsidR="00D840D7" w:rsidRPr="0037380E" w:rsidRDefault="00D840D7" w:rsidP="00D666C2">
      <w:pPr>
        <w:pStyle w:val="Tekstfusnote"/>
        <w:rPr>
          <w:vertAlign w:val="superscript"/>
        </w:rPr>
      </w:pPr>
      <w:r w:rsidRPr="00BB5254">
        <w:rPr>
          <w:rStyle w:val="Referencafusnote"/>
        </w:rPr>
        <w:footnoteRef/>
      </w:r>
      <w:r w:rsidRPr="00BB5254">
        <w:t xml:space="preserve"> </w:t>
      </w:r>
      <w:r w:rsidR="00D666C2" w:rsidRPr="00D666C2">
        <w:t>Postrojenje u kategoriji B, gdje su prosječne godišnje verificirane emisije u trgovinskom razdoblju koje neposredno prethodi sadašnjem trgovinskom razdoblju, s izuzetkom CO</w:t>
      </w:r>
      <w:r w:rsidR="00D666C2" w:rsidRPr="00D666C2">
        <w:rPr>
          <w:vertAlign w:val="subscript"/>
        </w:rPr>
        <w:t>2</w:t>
      </w:r>
      <w:r w:rsidR="00D666C2" w:rsidRPr="00D666C2">
        <w:t xml:space="preserve"> koji potječe iz biomase i prije oduzimanja prenesenog CO</w:t>
      </w:r>
      <w:r w:rsidR="00D666C2" w:rsidRPr="00D666C2">
        <w:rPr>
          <w:vertAlign w:val="subscript"/>
        </w:rPr>
        <w:t xml:space="preserve">2 </w:t>
      </w:r>
      <w:r w:rsidR="00D666C2" w:rsidRPr="00D666C2">
        <w:t>, veće od 50 000 tona CO</w:t>
      </w:r>
      <w:r w:rsidR="00D666C2" w:rsidRPr="00D666C2">
        <w:rPr>
          <w:vertAlign w:val="subscript"/>
        </w:rPr>
        <w:t>2(e)</w:t>
      </w:r>
      <w:r w:rsidR="00D666C2" w:rsidRPr="00D666C2">
        <w:t xml:space="preserve"> CO</w:t>
      </w:r>
      <w:r w:rsidR="00D666C2" w:rsidRPr="00D666C2">
        <w:rPr>
          <w:vertAlign w:val="subscript"/>
        </w:rPr>
        <w:t>2</w:t>
      </w:r>
      <w:r w:rsidR="00D666C2" w:rsidRPr="00D666C2">
        <w:t xml:space="preserve"> i jednake ili manje od 500 000 tona CO2</w:t>
      </w:r>
      <w:r w:rsidR="00D666C2" w:rsidRPr="00D666C2">
        <w:rPr>
          <w:vertAlign w:val="subscript"/>
        </w:rPr>
        <w:t>(e)</w:t>
      </w:r>
      <w:r w:rsidR="00D666C2" w:rsidRPr="00D666C2">
        <w:t xml:space="preserve">. </w:t>
      </w:r>
    </w:p>
  </w:footnote>
  <w:footnote w:id="9">
    <w:p w:rsidR="007009DD" w:rsidRDefault="0037380E" w:rsidP="0037380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D666C2">
        <w:t xml:space="preserve">Pod uvjetom da postoji primjeren pravni sustav za kontrolu fiskalnog mjerenja koji ispunjava </w:t>
      </w:r>
      <w:r w:rsidR="00EE6BD1">
        <w:t xml:space="preserve">zahtijevanu nesigurnost za razinu </w:t>
      </w:r>
      <w:r w:rsidRPr="00D666C2">
        <w:t>prema UPI-ju.</w:t>
      </w:r>
    </w:p>
  </w:footnote>
  <w:footnote w:id="10">
    <w:p w:rsidR="000711E5" w:rsidRPr="003A1DCC" w:rsidRDefault="000711E5" w:rsidP="0037380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6"/>
          <w:szCs w:val="26"/>
          <w:vertAlign w:val="superscript"/>
        </w:rPr>
      </w:pPr>
      <w:r>
        <w:rPr>
          <w:rStyle w:val="Referencafusnote"/>
        </w:rPr>
        <w:footnoteRef/>
      </w:r>
      <w:r>
        <w:t xml:space="preserve"> </w:t>
      </w:r>
      <w:r w:rsidR="007009DD" w:rsidRPr="0037380E">
        <w:rPr>
          <w:rFonts w:ascii="Calibri" w:hAnsi="Calibri"/>
          <w:sz w:val="20"/>
        </w:rPr>
        <w:t xml:space="preserve">Ovo obuhvaća postrojenja u kategoriji B </w:t>
      </w:r>
      <w:r w:rsidR="007009DD">
        <w:rPr>
          <w:rFonts w:ascii="Calibri" w:hAnsi="Calibri" w:cs="Calibri"/>
          <w:sz w:val="20"/>
          <w:szCs w:val="20"/>
        </w:rPr>
        <w:t>koja koriste prirodni plin i kojim</w:t>
      </w:r>
      <w:r w:rsidR="00EE6BD1">
        <w:rPr>
          <w:rFonts w:ascii="Calibri" w:hAnsi="Calibri" w:cs="Calibri"/>
          <w:sz w:val="20"/>
          <w:szCs w:val="20"/>
        </w:rPr>
        <w:t>a</w:t>
      </w:r>
      <w:r w:rsidR="007009DD">
        <w:rPr>
          <w:rFonts w:ascii="Calibri" w:hAnsi="Calibri" w:cs="Calibri"/>
          <w:sz w:val="20"/>
          <w:szCs w:val="20"/>
        </w:rPr>
        <w:t xml:space="preserve"> je NT odobrio korištenje zadanih vrijednosti kao proračunskih faktora: npr. postrojenja u kategoriji B koja koriste niže razine zbog tehničke neizvedivosti ili neopravdanih troškova. </w:t>
      </w:r>
      <w:r w:rsidR="007009DD" w:rsidRPr="00B44B43">
        <w:rPr>
          <w:rFonts w:ascii="Calibri" w:hAnsi="Calibri" w:cs="Calibri"/>
          <w:sz w:val="20"/>
          <w:szCs w:val="20"/>
        </w:rPr>
        <w:t xml:space="preserve">Postrojenja u kategoriji B koja mogu ispuniti najvišu razinu i </w:t>
      </w:r>
      <w:r w:rsidR="00EE6BD1">
        <w:rPr>
          <w:rFonts w:ascii="Calibri" w:hAnsi="Calibri" w:cs="Calibri"/>
          <w:sz w:val="20"/>
          <w:szCs w:val="20"/>
        </w:rPr>
        <w:t>za</w:t>
      </w:r>
      <w:r w:rsidR="007009DD" w:rsidRPr="00B44B43">
        <w:rPr>
          <w:rFonts w:ascii="Calibri" w:hAnsi="Calibri" w:cs="Calibri"/>
          <w:sz w:val="20"/>
          <w:szCs w:val="20"/>
        </w:rPr>
        <w:t xml:space="preserve"> </w:t>
      </w:r>
      <w:r w:rsidR="007009DD">
        <w:rPr>
          <w:rFonts w:ascii="Calibri" w:hAnsi="Calibri" w:cs="Calibri"/>
          <w:sz w:val="20"/>
          <w:szCs w:val="20"/>
        </w:rPr>
        <w:t>pro</w:t>
      </w:r>
      <w:r w:rsidR="007009DD" w:rsidRPr="00B44B43">
        <w:rPr>
          <w:rFonts w:ascii="Calibri" w:hAnsi="Calibri" w:cs="Calibri"/>
          <w:sz w:val="20"/>
          <w:szCs w:val="20"/>
        </w:rPr>
        <w:t xml:space="preserve">računske faktore </w:t>
      </w:r>
      <w:r w:rsidR="00EE6BD1">
        <w:rPr>
          <w:rFonts w:ascii="Calibri" w:hAnsi="Calibri" w:cs="Calibri"/>
          <w:sz w:val="20"/>
          <w:szCs w:val="20"/>
        </w:rPr>
        <w:t>koriste</w:t>
      </w:r>
      <w:r w:rsidR="007009DD" w:rsidRPr="00B44B43">
        <w:rPr>
          <w:rFonts w:ascii="Calibri" w:hAnsi="Calibri" w:cs="Calibri"/>
          <w:sz w:val="20"/>
          <w:szCs w:val="20"/>
        </w:rPr>
        <w:t xml:space="preserve"> razinu 3 ne mogu primjenjivati ovaj kriterij</w:t>
      </w:r>
      <w:r>
        <w:rPr>
          <w:rFonts w:ascii="Calibri" w:hAnsi="Calibri" w:cs="Calibri"/>
          <w:sz w:val="20"/>
          <w:szCs w:val="20"/>
        </w:rPr>
        <w:t xml:space="preserve">. </w:t>
      </w:r>
      <w:r w:rsidR="003E2417">
        <w:tab/>
      </w:r>
    </w:p>
  </w:footnote>
  <w:footnote w:id="11">
    <w:p w:rsidR="003A1DCC" w:rsidRDefault="003A1DCC" w:rsidP="0037380E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="007009DD" w:rsidRPr="00B44B43">
        <w:t xml:space="preserve">Za postrojenja u kategoriji  B, ovo se odnosi samo na ona postrojenja u kategoriji B kojima je NT odobrio korištenje </w:t>
      </w:r>
      <w:r w:rsidR="007009DD">
        <w:t>pro</w:t>
      </w:r>
      <w:r w:rsidR="007009DD" w:rsidRPr="00B44B43">
        <w:t xml:space="preserve">računskih faktora koji se temelje na zadanim vrijednostima. Postrojenja u kategoriji B koja mogu ispuniti najvišu razinu i kao </w:t>
      </w:r>
      <w:r w:rsidR="007009DD">
        <w:t>pro</w:t>
      </w:r>
      <w:r w:rsidR="007009DD" w:rsidRPr="00B44B43">
        <w:t xml:space="preserve">računske faktore primjenjuju razinu 3 ne mogu </w:t>
      </w:r>
      <w:r w:rsidR="007009DD">
        <w:t>primjenjivati ovaj kriterij</w:t>
      </w:r>
      <w:r w:rsidR="007009DD">
        <w:rPr>
          <w:rFonts w:ascii="Calibri" w:hAnsi="Calibri" w:cs="Calibri"/>
        </w:rPr>
        <w:t xml:space="preserve">. </w:t>
      </w:r>
    </w:p>
  </w:footnote>
  <w:footnote w:id="12">
    <w:p w:rsidR="007009DD" w:rsidRDefault="007009DD">
      <w:pPr>
        <w:pStyle w:val="Tekstfusnote"/>
      </w:pPr>
      <w:r>
        <w:rPr>
          <w:rStyle w:val="Referencafusnote"/>
        </w:rPr>
        <w:footnoteRef/>
      </w:r>
      <w:r>
        <w:t xml:space="preserve"> Primjerice, ovo može uključivati postrojenje na pučini ako analiza rizika opravdava neprovođenje terenskog obilaska.  </w:t>
      </w:r>
    </w:p>
  </w:footnote>
  <w:footnote w:id="13">
    <w:p w:rsidR="00D252FB" w:rsidRDefault="00D252FB">
      <w:pPr>
        <w:pStyle w:val="Tekstfusnote"/>
      </w:pPr>
      <w:r>
        <w:rPr>
          <w:rStyle w:val="Referencafusnote"/>
        </w:rPr>
        <w:footnoteRef/>
      </w:r>
      <w:r>
        <w:t xml:space="preserve"> Verifikator znači pravni subjekt ili pravna osoba koju je za provođenje verifikacije akreditiralo nacionalno akreditacijsko tijelo, ili fizička osoba koju je za provođenje verifikacije</w:t>
      </w:r>
      <w:r w:rsidRPr="00D252FB">
        <w:t xml:space="preserve"> </w:t>
      </w:r>
      <w:r>
        <w:t xml:space="preserve">certificiralo nacionalno certifikacijsko tijelo. </w:t>
      </w:r>
      <w:r w:rsidR="002B532C">
        <w:t xml:space="preserve"> </w:t>
      </w:r>
    </w:p>
  </w:footnote>
  <w:footnote w:id="14">
    <w:p w:rsidR="002B532C" w:rsidRDefault="002B532C">
      <w:pPr>
        <w:pStyle w:val="Tekstfusnote"/>
      </w:pPr>
      <w:r>
        <w:rPr>
          <w:rStyle w:val="Referencafusnote"/>
        </w:rPr>
        <w:footnoteRef/>
      </w:r>
      <w:r>
        <w:t xml:space="preserve"> Odjeljak </w:t>
      </w:r>
      <w:r>
        <w:rPr>
          <w:rFonts w:ascii="Calibri" w:hAnsi="Calibri" w:cs="Calibri"/>
        </w:rPr>
        <w:t>5.6.1 UPI upute br. 1 (UP1) i odjeljak 6.5.1 UPI upute br. 2 za operatere zrakoplova objašnjava što to predstavlja značajne promjene plana praćenja.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D6364D0C"/>
    <w:lvl w:ilvl="0" w:tplc="222419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E1F"/>
    <w:multiLevelType w:val="hybridMultilevel"/>
    <w:tmpl w:val="0F4E92E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60D"/>
    <w:multiLevelType w:val="hybridMultilevel"/>
    <w:tmpl w:val="00006B89"/>
    <w:lvl w:ilvl="0" w:tplc="0000030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246459A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28B"/>
    <w:multiLevelType w:val="hybridMultilevel"/>
    <w:tmpl w:val="000026A6"/>
    <w:lvl w:ilvl="0" w:tplc="0000701F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4509"/>
    <w:multiLevelType w:val="hybridMultilevel"/>
    <w:tmpl w:val="D1C2795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491C"/>
    <w:multiLevelType w:val="hybridMultilevel"/>
    <w:tmpl w:val="11BC9CEA"/>
    <w:lvl w:ilvl="0" w:tplc="00004DB7">
      <w:start w:val="3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DC8"/>
    <w:multiLevelType w:val="hybridMultilevel"/>
    <w:tmpl w:val="652CB1A8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54DE"/>
    <w:multiLevelType w:val="hybridMultilevel"/>
    <w:tmpl w:val="16B0E454"/>
    <w:lvl w:ilvl="0" w:tplc="00002D12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  <w:vertAlign w:val="baselin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AF1"/>
    <w:multiLevelType w:val="hybridMultilevel"/>
    <w:tmpl w:val="B204F25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D03"/>
    <w:multiLevelType w:val="hybridMultilevel"/>
    <w:tmpl w:val="7A546AC6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F90"/>
    <w:multiLevelType w:val="hybridMultilevel"/>
    <w:tmpl w:val="3F24C9E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63CB"/>
    <w:multiLevelType w:val="hybridMultilevel"/>
    <w:tmpl w:val="C2387DF4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6784"/>
    <w:multiLevelType w:val="hybridMultilevel"/>
    <w:tmpl w:val="705ACFAA"/>
    <w:lvl w:ilvl="0" w:tplc="2A545C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vertAlign w:val="baseline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7FF5"/>
    <w:multiLevelType w:val="hybridMultilevel"/>
    <w:tmpl w:val="74F2C93A"/>
    <w:lvl w:ilvl="0" w:tplc="0000323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2B42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vertAlign w:val="baseline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0CE6C8C"/>
    <w:multiLevelType w:val="hybridMultilevel"/>
    <w:tmpl w:val="0C080516"/>
    <w:lvl w:ilvl="0" w:tplc="9816EF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1C3FF2"/>
    <w:multiLevelType w:val="hybridMultilevel"/>
    <w:tmpl w:val="B3D2369E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5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11"/>
  </w:num>
  <w:num w:numId="13">
    <w:abstractNumId w:val="8"/>
  </w:num>
  <w:num w:numId="14">
    <w:abstractNumId w:val="14"/>
  </w:num>
  <w:num w:numId="15">
    <w:abstractNumId w:val="9"/>
  </w:num>
  <w:num w:numId="16">
    <w:abstractNumId w:val="4"/>
  </w:num>
  <w:num w:numId="17">
    <w:abstractNumId w:val="16"/>
  </w:num>
  <w:num w:numId="18">
    <w:abstractNumId w:val="18"/>
  </w:num>
  <w:num w:numId="19">
    <w:abstractNumId w:val="5"/>
  </w:num>
  <w:num w:numId="20">
    <w:abstractNumId w:val="1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BFC"/>
    <w:rsid w:val="000611E2"/>
    <w:rsid w:val="00065DF3"/>
    <w:rsid w:val="0007038B"/>
    <w:rsid w:val="000711E5"/>
    <w:rsid w:val="000A0779"/>
    <w:rsid w:val="000A3855"/>
    <w:rsid w:val="00113162"/>
    <w:rsid w:val="00115829"/>
    <w:rsid w:val="001D3BFC"/>
    <w:rsid w:val="00250C6A"/>
    <w:rsid w:val="00286B07"/>
    <w:rsid w:val="002B532C"/>
    <w:rsid w:val="002D7FAC"/>
    <w:rsid w:val="00332D38"/>
    <w:rsid w:val="0037380E"/>
    <w:rsid w:val="003765FB"/>
    <w:rsid w:val="00377110"/>
    <w:rsid w:val="003A1DCC"/>
    <w:rsid w:val="003B1E98"/>
    <w:rsid w:val="003D5A92"/>
    <w:rsid w:val="003E2417"/>
    <w:rsid w:val="00501767"/>
    <w:rsid w:val="00515E0A"/>
    <w:rsid w:val="00542E95"/>
    <w:rsid w:val="00577C0E"/>
    <w:rsid w:val="00585CA5"/>
    <w:rsid w:val="006057B7"/>
    <w:rsid w:val="00651DDE"/>
    <w:rsid w:val="006D2D40"/>
    <w:rsid w:val="007009DD"/>
    <w:rsid w:val="007A6A37"/>
    <w:rsid w:val="00806480"/>
    <w:rsid w:val="00952171"/>
    <w:rsid w:val="009F7335"/>
    <w:rsid w:val="00AD2791"/>
    <w:rsid w:val="00B023E4"/>
    <w:rsid w:val="00B44B43"/>
    <w:rsid w:val="00B924E5"/>
    <w:rsid w:val="00BB5254"/>
    <w:rsid w:val="00BB756C"/>
    <w:rsid w:val="00C96B3A"/>
    <w:rsid w:val="00CB377B"/>
    <w:rsid w:val="00CF5A61"/>
    <w:rsid w:val="00D252FB"/>
    <w:rsid w:val="00D655CD"/>
    <w:rsid w:val="00D666C2"/>
    <w:rsid w:val="00D840D7"/>
    <w:rsid w:val="00EB2631"/>
    <w:rsid w:val="00EE07DE"/>
    <w:rsid w:val="00EE6BD1"/>
    <w:rsid w:val="00FC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semiHidden/>
    <w:unhideWhenUsed/>
    <w:rsid w:val="000611E2"/>
    <w:rPr>
      <w:vertAlign w:val="superscript"/>
    </w:rPr>
  </w:style>
  <w:style w:type="table" w:styleId="Reetkatablice">
    <w:name w:val="Table Grid"/>
    <w:basedOn w:val="Obinatablica"/>
    <w:uiPriority w:val="59"/>
    <w:rsid w:val="00061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1E2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32D3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32D38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3765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uiPriority w:val="99"/>
    <w:semiHidden/>
    <w:unhideWhenUsed/>
    <w:rsid w:val="000611E2"/>
    <w:rPr>
      <w:vertAlign w:val="superscript"/>
    </w:rPr>
  </w:style>
  <w:style w:type="table" w:styleId="Reetkatablice">
    <w:name w:val="Table Grid"/>
    <w:basedOn w:val="Obinatablica"/>
    <w:uiPriority w:val="59"/>
    <w:rsid w:val="00061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6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11E2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32D3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32D38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376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ec.europa.eu/clima/policies/ets/monitoring/index_e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42EB0-646A-43A6-BCED-2C625A888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Domitrek</dc:creator>
  <cp:lastModifiedBy>Madlena Ožanić</cp:lastModifiedBy>
  <cp:revision>2</cp:revision>
  <dcterms:created xsi:type="dcterms:W3CDTF">2014-09-26T13:41:00Z</dcterms:created>
  <dcterms:modified xsi:type="dcterms:W3CDTF">2014-09-26T13:41:00Z</dcterms:modified>
</cp:coreProperties>
</file>